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EA7" w:rsidRDefault="00BE62DE">
      <w:pPr>
        <w:pStyle w:val="Heading1"/>
        <w:tabs>
          <w:tab w:val="center" w:pos="4513"/>
          <w:tab w:val="right" w:pos="9026"/>
        </w:tabs>
        <w:spacing w:after="0"/>
        <w:jc w:val="left"/>
      </w:pPr>
      <w:bookmarkStart w:id="0" w:name="_heading=h.yu2vn1wh753q" w:colFirst="0" w:colLast="0"/>
      <w:bookmarkStart w:id="1" w:name="_GoBack"/>
      <w:bookmarkEnd w:id="0"/>
      <w:bookmarkEnd w:id="1"/>
      <w:r>
        <w:t>Joint Schedule 7 (Financial Difficulties)</w:t>
      </w:r>
    </w:p>
    <w:p w:rsidR="00172EA7" w:rsidRDefault="00BE62DE">
      <w:pPr>
        <w:pStyle w:val="Heading2"/>
        <w:numPr>
          <w:ilvl w:val="0"/>
          <w:numId w:val="1"/>
        </w:numPr>
        <w:tabs>
          <w:tab w:val="left" w:pos="142"/>
        </w:tabs>
        <w:spacing w:before="120"/>
        <w:jc w:val="left"/>
        <w:rPr>
          <w:sz w:val="12"/>
          <w:szCs w:val="12"/>
        </w:rPr>
      </w:pPr>
      <w:bookmarkStart w:id="2" w:name="_heading=h.xtv3sjo2e02e" w:colFirst="0" w:colLast="0"/>
      <w:bookmarkEnd w:id="2"/>
      <w:r>
        <w:rPr>
          <w:rFonts w:ascii="Arial" w:eastAsia="Arial" w:hAnsi="Arial"/>
          <w:sz w:val="24"/>
          <w:szCs w:val="24"/>
        </w:rPr>
        <w:t>Definitions</w:t>
      </w:r>
    </w:p>
    <w:p w:rsidR="00172EA7" w:rsidRDefault="00BE62DE">
      <w:pPr>
        <w:numPr>
          <w:ilvl w:val="1"/>
          <w:numId w:val="1"/>
        </w:numPr>
        <w:pBdr>
          <w:top w:val="nil"/>
          <w:left w:val="nil"/>
          <w:bottom w:val="nil"/>
          <w:right w:val="nil"/>
          <w:between w:val="nil"/>
        </w:pBdr>
        <w:tabs>
          <w:tab w:val="left" w:pos="1134"/>
        </w:tabs>
        <w:spacing w:before="120" w:after="120"/>
        <w:ind w:left="936" w:hanging="576"/>
        <w:jc w:val="left"/>
        <w:rPr>
          <w:color w:val="000000"/>
          <w:sz w:val="24"/>
          <w:szCs w:val="24"/>
        </w:rPr>
      </w:pPr>
      <w:r>
        <w:rPr>
          <w:rFonts w:ascii="Arial" w:eastAsia="Arial" w:hAnsi="Arial"/>
          <w:color w:val="000000"/>
          <w:sz w:val="24"/>
          <w:szCs w:val="24"/>
        </w:rPr>
        <w:t>In this Schedule, the following definitions shall apply:</w:t>
      </w:r>
    </w:p>
    <w:p w:rsidR="00172EA7" w:rsidRDefault="00172EA7">
      <w:pPr>
        <w:pBdr>
          <w:top w:val="nil"/>
          <w:left w:val="nil"/>
          <w:bottom w:val="nil"/>
          <w:right w:val="nil"/>
          <w:between w:val="nil"/>
        </w:pBdr>
        <w:tabs>
          <w:tab w:val="left" w:pos="1134"/>
        </w:tabs>
        <w:spacing w:before="120" w:after="120"/>
        <w:ind w:left="425" w:hanging="435"/>
        <w:jc w:val="left"/>
        <w:rPr>
          <w:rFonts w:ascii="Arial" w:eastAsia="Arial" w:hAnsi="Arial"/>
          <w:color w:val="000000"/>
          <w:sz w:val="24"/>
          <w:szCs w:val="24"/>
        </w:rPr>
      </w:pPr>
    </w:p>
    <w:tbl>
      <w:tblPr>
        <w:tblStyle w:val="a7"/>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“Applicable Financial Indicators”</w:t>
            </w:r>
          </w:p>
        </w:tc>
        <w:tc>
          <w:tcPr>
            <w:tcW w:w="5952" w:type="dxa"/>
          </w:tcPr>
          <w:p w:rsidR="00172EA7" w:rsidRDefault="00BE62DE">
            <w:pPr>
              <w:keepNext/>
              <w:pBdr>
                <w:top w:val="nil"/>
                <w:left w:val="nil"/>
                <w:bottom w:val="nil"/>
                <w:right w:val="nil"/>
                <w:between w:val="nil"/>
              </w:pBdr>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rsidR="00172EA7" w:rsidRDefault="00BE62D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rsidR="00172EA7" w:rsidRDefault="00BE62D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“Bronze Contract”</w:t>
            </w:r>
          </w:p>
        </w:tc>
        <w:tc>
          <w:tcPr>
            <w:tcW w:w="5952" w:type="dxa"/>
          </w:tcPr>
          <w:p w:rsidR="00172EA7" w:rsidRDefault="00BE62D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A Call-Off Contract categorised as a Bronze contract using the Cabinet Office Contract Tiering Tool;</w:t>
            </w:r>
          </w:p>
        </w:tc>
      </w:tr>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rsidR="00172EA7" w:rsidRDefault="00BE62D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rsidR="00172EA7" w:rsidRDefault="00BE62D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minimum credit rating level for eac</w:t>
            </w:r>
            <w:r>
              <w:rPr>
                <w:rFonts w:ascii="Arial" w:eastAsia="Arial" w:hAnsi="Arial"/>
                <w:color w:val="000000"/>
                <w:sz w:val="24"/>
                <w:szCs w:val="24"/>
              </w:rPr>
              <w:t>h entity in the FDE Group as set out in Annex 1 to this Schedule;</w:t>
            </w:r>
          </w:p>
        </w:tc>
      </w:tr>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rsidR="00172EA7" w:rsidRDefault="00BE62D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the</w:t>
            </w:r>
            <w:r>
              <w:rPr>
                <w:rFonts w:ascii="Arial" w:eastAsia="Arial" w:hAnsi="Arial"/>
                <w:sz w:val="24"/>
                <w:szCs w:val="24"/>
              </w:rPr>
              <w:t xml:space="preserve"> </w:t>
            </w:r>
            <w:r>
              <w:rPr>
                <w:rFonts w:ascii="Arial" w:eastAsia="Arial" w:hAnsi="Arial"/>
                <w:color w:val="000000"/>
                <w:sz w:val="24"/>
                <w:szCs w:val="24"/>
              </w:rPr>
              <w:t>Supplier, (Key Sub-contractors,</w:t>
            </w:r>
            <w:r>
              <w:rPr>
                <w:rFonts w:ascii="Arial" w:eastAsia="Arial" w:hAnsi="Arial"/>
                <w:sz w:val="24"/>
                <w:szCs w:val="24"/>
              </w:rPr>
              <w:t xml:space="preserve"> </w:t>
            </w:r>
            <w:r>
              <w:rPr>
                <w:rFonts w:ascii="Arial" w:eastAsia="Arial" w:hAnsi="Arial"/>
                <w:color w:val="000000"/>
                <w:sz w:val="24"/>
                <w:szCs w:val="24"/>
              </w:rPr>
              <w:t>the Guaranto</w:t>
            </w:r>
            <w:r>
              <w:rPr>
                <w:rFonts w:ascii="Arial" w:eastAsia="Arial" w:hAnsi="Arial"/>
                <w:sz w:val="24"/>
                <w:szCs w:val="24"/>
              </w:rPr>
              <w:t>r</w:t>
            </w:r>
            <w:r>
              <w:rPr>
                <w:rFonts w:ascii="Arial" w:eastAsia="Arial" w:hAnsi="Arial"/>
                <w:color w:val="000000"/>
                <w:sz w:val="24"/>
                <w:szCs w:val="24"/>
              </w:rPr>
              <w:t xml:space="preserve"> and the Monitored Suppliers if appropriate</w:t>
            </w:r>
            <w:r>
              <w:rPr>
                <w:rFonts w:ascii="Arial" w:eastAsia="Arial" w:hAnsi="Arial"/>
                <w:sz w:val="24"/>
                <w:szCs w:val="24"/>
              </w:rPr>
              <w:t>)</w:t>
            </w:r>
          </w:p>
        </w:tc>
      </w:tr>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rsidR="00172EA7" w:rsidRDefault="00BE62D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Any of the events listed in Paragraph 3.1 of this</w:t>
            </w:r>
            <w:r>
              <w:rPr>
                <w:rFonts w:ascii="Arial" w:eastAsia="Arial" w:hAnsi="Arial"/>
                <w:color w:val="000000"/>
                <w:sz w:val="24"/>
                <w:szCs w:val="24"/>
              </w:rPr>
              <w:t xml:space="preserve"> Schedule;</w:t>
            </w:r>
          </w:p>
        </w:tc>
      </w:tr>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rsidR="00172EA7" w:rsidRDefault="00BE62D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“Financial Indicators”</w:t>
            </w:r>
          </w:p>
        </w:tc>
        <w:tc>
          <w:tcPr>
            <w:tcW w:w="5952" w:type="dxa"/>
          </w:tcPr>
          <w:p w:rsidR="00172EA7" w:rsidRDefault="00BE62D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in respect of the Supplier, Key Sub-contractors and the Guarantor, means each of the financial indicators set out at paragraph 5.1 of this Schedule and in </w:t>
            </w:r>
            <w:r>
              <w:rPr>
                <w:rFonts w:ascii="Arial" w:eastAsia="Arial" w:hAnsi="Arial"/>
                <w:color w:val="000000"/>
                <w:sz w:val="24"/>
                <w:szCs w:val="24"/>
              </w:rPr>
              <w:lastRenderedPageBreak/>
              <w:t>respect of each Monitored Supplier, means those Applicable Financial Indicator</w:t>
            </w:r>
            <w:r>
              <w:rPr>
                <w:rFonts w:ascii="Arial" w:eastAsia="Arial" w:hAnsi="Arial"/>
                <w:color w:val="000000"/>
                <w:sz w:val="24"/>
                <w:szCs w:val="24"/>
              </w:rPr>
              <w:t>s;</w:t>
            </w:r>
          </w:p>
        </w:tc>
      </w:tr>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952" w:type="dxa"/>
          </w:tcPr>
          <w:p w:rsidR="00172EA7" w:rsidRDefault="00BE62D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“Monitored Suppliers”</w:t>
            </w:r>
          </w:p>
        </w:tc>
        <w:tc>
          <w:tcPr>
            <w:tcW w:w="5952" w:type="dxa"/>
          </w:tcPr>
          <w:p w:rsidR="00172EA7" w:rsidRDefault="00BE62D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rsidR="00172EA7" w:rsidRDefault="00BE62D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ra</w:t>
            </w:r>
            <w:r>
              <w:rPr>
                <w:rFonts w:ascii="Arial" w:eastAsia="Arial" w:hAnsi="Arial"/>
                <w:color w:val="000000"/>
                <w:sz w:val="24"/>
                <w:szCs w:val="24"/>
              </w:rPr>
              <w:t>ting agencies listed in Annex 1 of this Schedule;</w:t>
            </w:r>
          </w:p>
        </w:tc>
      </w:tr>
      <w:tr w:rsidR="00172EA7">
        <w:tc>
          <w:tcPr>
            <w:tcW w:w="2704" w:type="dxa"/>
          </w:tcPr>
          <w:p w:rsidR="00172EA7" w:rsidRDefault="00BE62DE">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tcPr>
          <w:p w:rsidR="00172EA7" w:rsidRDefault="00BE62D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rsidR="00172EA7" w:rsidRDefault="00BE62DE">
      <w:pPr>
        <w:pStyle w:val="Heading2"/>
        <w:numPr>
          <w:ilvl w:val="0"/>
          <w:numId w:val="1"/>
        </w:numPr>
        <w:tabs>
          <w:tab w:val="left" w:pos="142"/>
        </w:tabs>
        <w:rPr>
          <w:sz w:val="12"/>
          <w:szCs w:val="12"/>
        </w:rPr>
      </w:pPr>
      <w:bookmarkStart w:id="3" w:name="_heading=h.d4hgukg2gyl8" w:colFirst="0" w:colLast="0"/>
      <w:bookmarkEnd w:id="3"/>
      <w:r>
        <w:t>Warranties and duty to notify</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 xml:space="preserve">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each entity in the FDE Group by each of the Rating Agencies are as set out in Annex 2 to this Schedule; and</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 xml:space="preserve">the financial position or, as appropriate, the financial performance of each of the Supplier, Guarantor and </w:t>
      </w:r>
      <w:r>
        <w:rPr>
          <w:rFonts w:ascii="Arial" w:eastAsia="Arial" w:hAnsi="Arial"/>
          <w:color w:val="000000"/>
          <w:sz w:val="24"/>
          <w:szCs w:val="24"/>
        </w:rPr>
        <w:t>Key Sub-contractors satisfies the Financial Target Thresholds.</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w:t>
      </w:r>
      <w:r>
        <w:rPr>
          <w:rFonts w:ascii="Arial" w:eastAsia="Arial" w:hAnsi="Arial"/>
          <w:color w:val="000000"/>
          <w:sz w:val="24"/>
          <w:szCs w:val="24"/>
        </w:rPr>
        <w:t>ncy for any entity in the FDE Group (and in any event within 5 Working Days of the occurrence of the downgrade).</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The Supplier shall:</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regularly monitor the credit ratings of each entity in the FDE Group with the Rating Agencies;</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w:t>
      </w:r>
      <w:r>
        <w:rPr>
          <w:rFonts w:ascii="Arial" w:eastAsia="Arial" w:hAnsi="Arial"/>
          <w:color w:val="000000"/>
          <w:sz w:val="24"/>
          <w:szCs w:val="24"/>
        </w:rPr>
        <w:t xml:space="preserve"> a year within ninety (90) days after the Accounting Reference Date; and</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w:t>
      </w:r>
      <w:r>
        <w:rPr>
          <w:rFonts w:ascii="Arial" w:eastAsia="Arial" w:hAnsi="Arial"/>
          <w:color w:val="000000"/>
          <w:sz w:val="24"/>
          <w:szCs w:val="24"/>
        </w:rPr>
        <w:t xml:space="preserve"> or matter which could cause a Financial Distress Event (and in any event, ensure that such notification is made within 10 Working Days of the date on which the Supplier first becomes aware of the </w:t>
      </w:r>
      <w:r>
        <w:rPr>
          <w:rFonts w:ascii="Arial" w:eastAsia="Arial" w:hAnsi="Arial"/>
          <w:color w:val="000000"/>
          <w:sz w:val="24"/>
          <w:szCs w:val="24"/>
        </w:rPr>
        <w:lastRenderedPageBreak/>
        <w:t>Financial Distress Event or the fact, circumstance or matte</w:t>
      </w:r>
      <w:r>
        <w:rPr>
          <w:rFonts w:ascii="Arial" w:eastAsia="Arial" w:hAnsi="Arial"/>
          <w:color w:val="000000"/>
          <w:sz w:val="24"/>
          <w:szCs w:val="24"/>
        </w:rPr>
        <w:t>r which could cause a Financial Distress Event).</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For the purposes of determining whether a Financial Distress Event has occurred pursuant to the provisions of Paragraphs 3.1, and for the purposes of determining relief under Paragraph 7.1, the credit rating</w:t>
      </w:r>
      <w:r>
        <w:rPr>
          <w:rFonts w:ascii="Arial" w:eastAsia="Arial" w:hAnsi="Arial"/>
          <w:color w:val="000000"/>
          <w:sz w:val="24"/>
          <w:szCs w:val="24"/>
        </w:rPr>
        <w:t xml:space="preserve"> of an FDE Group entity shall be deemed to have dropped below the applicable Credit Rating Threshold if any of the Rating Agencies have rated that entity at or below the applicable Credit Rating Threshold.</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 xml:space="preserve">Each report submitted by the Supplier pursuant to </w:t>
      </w:r>
      <w:r>
        <w:rPr>
          <w:rFonts w:ascii="Arial" w:eastAsia="Arial" w:hAnsi="Arial"/>
          <w:color w:val="000000"/>
          <w:sz w:val="24"/>
          <w:szCs w:val="24"/>
        </w:rPr>
        <w:t>paragraph 2.3.2 shall:</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be a single report with separate sections for each of the FDE Group entities;</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contain a sufficient level of information to enable the Relevant Authority to verify the calculations that have been made in respect of the Financial Indic</w:t>
      </w:r>
      <w:r>
        <w:rPr>
          <w:rFonts w:ascii="Arial" w:eastAsia="Arial" w:hAnsi="Arial"/>
          <w:color w:val="000000"/>
          <w:sz w:val="24"/>
          <w:szCs w:val="24"/>
        </w:rPr>
        <w:t>ators;</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include key financial and other supporting information (including any accounts data that has been relied on) as separate annexes;</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be based on the audited accounts for the date or period on which the Financial Indicator is based or, where the Financi</w:t>
      </w:r>
      <w:r>
        <w:rPr>
          <w:rFonts w:ascii="Arial" w:eastAsia="Arial" w:hAnsi="Arial"/>
          <w:color w:val="000000"/>
          <w:sz w:val="24"/>
          <w:szCs w:val="24"/>
        </w:rPr>
        <w:t>al Indicator is not linked to an accounting period or an accounting reference date, on unaudited management accounts prepared in accordance with their normal timetable; and</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include a history of the Financial Indicators reported by the Supplier in graph for</w:t>
      </w:r>
      <w:r>
        <w:rPr>
          <w:rFonts w:ascii="Arial" w:eastAsia="Arial" w:hAnsi="Arial"/>
          <w:color w:val="000000"/>
          <w:sz w:val="24"/>
          <w:szCs w:val="24"/>
        </w:rPr>
        <w:t>m to enable the Relevant Authority to easily analyse and assess the trends in financial performance.</w:t>
      </w:r>
    </w:p>
    <w:p w:rsidR="00172EA7" w:rsidRDefault="00BE62DE">
      <w:pPr>
        <w:pStyle w:val="Heading2"/>
        <w:numPr>
          <w:ilvl w:val="0"/>
          <w:numId w:val="1"/>
        </w:numPr>
        <w:tabs>
          <w:tab w:val="left" w:pos="142"/>
        </w:tabs>
        <w:spacing w:before="120"/>
        <w:jc w:val="left"/>
        <w:rPr>
          <w:sz w:val="12"/>
          <w:szCs w:val="12"/>
        </w:rPr>
      </w:pPr>
      <w:bookmarkStart w:id="4" w:name="_heading=h.nj5up5jhj5e7" w:colFirst="0" w:colLast="0"/>
      <w:bookmarkEnd w:id="4"/>
      <w:r>
        <w:t>Financial Distress events</w:t>
      </w:r>
    </w:p>
    <w:p w:rsidR="00172EA7" w:rsidRDefault="00BE62DE">
      <w:pPr>
        <w:numPr>
          <w:ilvl w:val="1"/>
          <w:numId w:val="1"/>
        </w:numPr>
        <w:pBdr>
          <w:top w:val="nil"/>
          <w:left w:val="nil"/>
          <w:bottom w:val="nil"/>
          <w:right w:val="nil"/>
          <w:between w:val="nil"/>
        </w:pBdr>
        <w:tabs>
          <w:tab w:val="left" w:pos="1134"/>
        </w:tabs>
        <w:spacing w:before="120" w:after="120"/>
        <w:ind w:left="708" w:hanging="708"/>
        <w:jc w:val="left"/>
        <w:rPr>
          <w:color w:val="000000"/>
          <w:sz w:val="24"/>
          <w:szCs w:val="24"/>
        </w:rPr>
      </w:pPr>
      <w:r>
        <w:rPr>
          <w:rFonts w:ascii="Arial" w:eastAsia="Arial" w:hAnsi="Arial"/>
          <w:color w:val="000000"/>
          <w:sz w:val="24"/>
          <w:szCs w:val="24"/>
        </w:rPr>
        <w:t>The following shall be Financial Distress Events:</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the credit rating of an FDE Group entity dropping below the applicable Credit Rating Threshold;</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an FDE Group entity issuing a profits warning to a stock exchange or making any other public announcement, in each case about a material deterioration in its fi</w:t>
      </w:r>
      <w:r>
        <w:rPr>
          <w:rFonts w:ascii="Arial" w:eastAsia="Arial" w:hAnsi="Arial"/>
          <w:color w:val="000000"/>
          <w:sz w:val="24"/>
          <w:szCs w:val="24"/>
        </w:rPr>
        <w:t>nancial position or prospects;</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there being a public investigation into improper financial accounting and reporting, suspected fraud or any other impropriety of an FDE Group entity;</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an FDE Group entity committing a material breach of covenant to its lenders</w:t>
      </w:r>
      <w:r>
        <w:rPr>
          <w:rFonts w:ascii="Arial" w:eastAsia="Arial" w:hAnsi="Arial"/>
          <w:color w:val="000000"/>
          <w:sz w:val="24"/>
          <w:szCs w:val="24"/>
        </w:rPr>
        <w:t>;</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a Key Sub-contractor notifying CCS or the Buyer that the Supplier has not satisfied any material sums properly due under a specified invoice and not subject to a genuine dispute;</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any of the following:</w:t>
      </w:r>
    </w:p>
    <w:p w:rsidR="00172EA7" w:rsidRDefault="00BE62DE">
      <w:pPr>
        <w:numPr>
          <w:ilvl w:val="3"/>
          <w:numId w:val="1"/>
        </w:numPr>
        <w:pBdr>
          <w:top w:val="nil"/>
          <w:left w:val="nil"/>
          <w:bottom w:val="nil"/>
          <w:right w:val="nil"/>
          <w:between w:val="nil"/>
        </w:pBdr>
        <w:tabs>
          <w:tab w:val="left" w:pos="1985"/>
        </w:tabs>
        <w:spacing w:before="120" w:after="120"/>
        <w:ind w:left="1417" w:firstLine="0"/>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rsidR="00172EA7" w:rsidRDefault="00BE62DE">
      <w:pPr>
        <w:numPr>
          <w:ilvl w:val="3"/>
          <w:numId w:val="1"/>
        </w:numPr>
        <w:pBdr>
          <w:top w:val="nil"/>
          <w:left w:val="nil"/>
          <w:bottom w:val="nil"/>
          <w:right w:val="nil"/>
          <w:between w:val="nil"/>
        </w:pBdr>
        <w:tabs>
          <w:tab w:val="left" w:pos="1985"/>
        </w:tabs>
        <w:spacing w:before="120" w:after="120"/>
        <w:ind w:left="1417" w:firstLine="0"/>
        <w:rPr>
          <w:rFonts w:ascii="Arial" w:eastAsia="Arial" w:hAnsi="Arial"/>
          <w:color w:val="000000"/>
          <w:sz w:val="24"/>
          <w:szCs w:val="24"/>
        </w:rPr>
      </w:pPr>
      <w:r>
        <w:rPr>
          <w:rFonts w:ascii="Arial" w:eastAsia="Arial" w:hAnsi="Arial"/>
          <w:color w:val="000000"/>
          <w:sz w:val="24"/>
          <w:szCs w:val="24"/>
        </w:rPr>
        <w:lastRenderedPageBreak/>
        <w:t>non-payment by an FDE Group entity of any financial in</w:t>
      </w:r>
      <w:r>
        <w:rPr>
          <w:rFonts w:ascii="Arial" w:eastAsia="Arial" w:hAnsi="Arial"/>
          <w:color w:val="000000"/>
          <w:sz w:val="24"/>
          <w:szCs w:val="24"/>
        </w:rPr>
        <w:t>debtedness;</w:t>
      </w:r>
    </w:p>
    <w:p w:rsidR="00172EA7" w:rsidRDefault="00BE62DE">
      <w:pPr>
        <w:numPr>
          <w:ilvl w:val="3"/>
          <w:numId w:val="1"/>
        </w:numPr>
        <w:pBdr>
          <w:top w:val="nil"/>
          <w:left w:val="nil"/>
          <w:bottom w:val="nil"/>
          <w:right w:val="nil"/>
          <w:between w:val="nil"/>
        </w:pBdr>
        <w:tabs>
          <w:tab w:val="left" w:pos="1985"/>
        </w:tabs>
        <w:spacing w:before="120" w:after="120"/>
        <w:ind w:left="1417" w:firstLine="0"/>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rsidR="00172EA7" w:rsidRDefault="00BE62DE">
      <w:pPr>
        <w:numPr>
          <w:ilvl w:val="3"/>
          <w:numId w:val="1"/>
        </w:numPr>
        <w:pBdr>
          <w:top w:val="nil"/>
          <w:left w:val="nil"/>
          <w:bottom w:val="nil"/>
          <w:right w:val="nil"/>
          <w:between w:val="nil"/>
        </w:pBdr>
        <w:tabs>
          <w:tab w:val="left" w:pos="1985"/>
        </w:tabs>
        <w:spacing w:before="120" w:after="120"/>
        <w:ind w:left="1417" w:firstLine="0"/>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rsidR="00172EA7" w:rsidRDefault="00BE62DE">
      <w:pPr>
        <w:numPr>
          <w:ilvl w:val="3"/>
          <w:numId w:val="1"/>
        </w:numPr>
        <w:pBdr>
          <w:top w:val="nil"/>
          <w:left w:val="nil"/>
          <w:bottom w:val="nil"/>
          <w:right w:val="nil"/>
          <w:between w:val="nil"/>
        </w:pBdr>
        <w:tabs>
          <w:tab w:val="left" w:pos="1985"/>
        </w:tabs>
        <w:spacing w:before="120" w:after="120"/>
        <w:ind w:left="1417" w:firstLine="0"/>
        <w:rPr>
          <w:rFonts w:ascii="Arial" w:eastAsia="Arial" w:hAnsi="Arial"/>
          <w:color w:val="000000"/>
          <w:sz w:val="24"/>
          <w:szCs w:val="24"/>
        </w:rPr>
      </w:pPr>
      <w:r>
        <w:rPr>
          <w:rFonts w:ascii="Arial" w:eastAsia="Arial" w:hAnsi="Arial"/>
          <w:color w:val="000000"/>
          <w:sz w:val="24"/>
          <w:szCs w:val="24"/>
        </w:rPr>
        <w:t>the external auditor of an FDE Group entity ex</w:t>
      </w:r>
      <w:r>
        <w:rPr>
          <w:rFonts w:ascii="Arial" w:eastAsia="Arial" w:hAnsi="Arial"/>
          <w:color w:val="000000"/>
          <w:sz w:val="24"/>
          <w:szCs w:val="24"/>
        </w:rPr>
        <w:t>pressing a qualified opinion on, or including an emphasis of matter in, its opinion on the statutory accounts of that FDE entity;</w:t>
      </w:r>
    </w:p>
    <w:p w:rsidR="00172EA7" w:rsidRDefault="00BE62DE">
      <w:p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w:t>
      </w:r>
      <w:r>
        <w:rPr>
          <w:rFonts w:ascii="Arial" w:eastAsia="Arial" w:hAnsi="Arial"/>
          <w:color w:val="000000"/>
          <w:sz w:val="24"/>
          <w:szCs w:val="24"/>
        </w:rPr>
        <w:t xml:space="preserve"> on the continued performance and delivery of the Deliverables in accordance with the Contract; and</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any of the Financial Indicators set out at Paragraph 5 for any of the FDE Group entities failing to meet the required Financial Target Threshold.</w:t>
      </w:r>
    </w:p>
    <w:p w:rsidR="00172EA7" w:rsidRDefault="00BE62DE">
      <w:pPr>
        <w:pStyle w:val="Heading2"/>
        <w:numPr>
          <w:ilvl w:val="0"/>
          <w:numId w:val="1"/>
        </w:numPr>
        <w:tabs>
          <w:tab w:val="left" w:pos="142"/>
        </w:tabs>
        <w:spacing w:before="120"/>
        <w:jc w:val="left"/>
      </w:pPr>
      <w:bookmarkStart w:id="5" w:name="_heading=h.vf0xc4j7v01r" w:colFirst="0" w:colLast="0"/>
      <w:bookmarkEnd w:id="5"/>
      <w:r>
        <w:t>Consequences of Financial Distress Events</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w:t>
      </w:r>
      <w:r>
        <w:rPr>
          <w:rFonts w:ascii="Arial" w:eastAsia="Arial" w:hAnsi="Arial"/>
          <w:color w:val="000000"/>
          <w:sz w:val="24"/>
          <w:szCs w:val="24"/>
        </w:rPr>
        <w:t>e Supplier), the Supplier shall have the obligations and the Relevant Authority shall have the rights and remedies as set out in Paragraphs 4.3 to 4.6.</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 xml:space="preserve">In the event of a late or non-payment of a Key Sub-contractor pursuant to Paragraph 3.1.5, the Relevant </w:t>
      </w:r>
      <w:r>
        <w:rPr>
          <w:rFonts w:ascii="Arial" w:eastAsia="Arial" w:hAnsi="Arial"/>
          <w:color w:val="000000"/>
          <w:sz w:val="24"/>
          <w:szCs w:val="24"/>
        </w:rPr>
        <w:t>Authority shall not exercise any of its rights or remedies under Paragraph 4.3 without first giving the Supplier 10 Working Days to:</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rectify such late or non-payment; or</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 xml:space="preserve">demonstrate to the Relevant Authority’s reasonable satisfaction that there is a valid </w:t>
      </w:r>
      <w:r>
        <w:rPr>
          <w:rFonts w:ascii="Arial" w:eastAsia="Arial" w:hAnsi="Arial"/>
          <w:color w:val="000000"/>
          <w:sz w:val="24"/>
          <w:szCs w:val="24"/>
        </w:rPr>
        <w:t>reason for late or non-payment.</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at the request of the Relevant Authority, meet the Relevant Authority as soon as reasonably prac</w:t>
      </w:r>
      <w:r>
        <w:rPr>
          <w:rFonts w:ascii="Arial" w:eastAsia="Arial" w:hAnsi="Arial"/>
          <w:color w:val="000000"/>
          <w:sz w:val="24"/>
          <w:szCs w:val="24"/>
        </w:rPr>
        <w:t>ticable (and in any event within 3 Working Days of the initial notification (or awareness) of the Financial Distress Event or such other period as the Relevant Authority may permit and notify to the Supplier in writing) to review the effect of the Financia</w:t>
      </w:r>
      <w:r>
        <w:rPr>
          <w:rFonts w:ascii="Arial" w:eastAsia="Arial" w:hAnsi="Arial"/>
          <w:color w:val="000000"/>
          <w:sz w:val="24"/>
          <w:szCs w:val="24"/>
        </w:rPr>
        <w:t>l Distress Event on the continued performance and delivery of the Services in accordance with the Contract; and</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w:t>
      </w:r>
      <w:r>
        <w:rPr>
          <w:rFonts w:ascii="Arial" w:eastAsia="Arial" w:hAnsi="Arial"/>
          <w:color w:val="000000"/>
          <w:sz w:val="24"/>
          <w:szCs w:val="24"/>
        </w:rPr>
        <w:t>e Financial Distress Event could impact on the continued performance and delivery of the Deliverables in accordance with the Contract:</w:t>
      </w:r>
    </w:p>
    <w:p w:rsidR="00172EA7" w:rsidRDefault="00BE62DE">
      <w:pPr>
        <w:numPr>
          <w:ilvl w:val="3"/>
          <w:numId w:val="1"/>
        </w:numPr>
        <w:pBdr>
          <w:top w:val="nil"/>
          <w:left w:val="nil"/>
          <w:bottom w:val="nil"/>
          <w:right w:val="nil"/>
          <w:between w:val="nil"/>
        </w:pBdr>
        <w:tabs>
          <w:tab w:val="left" w:pos="1985"/>
        </w:tabs>
        <w:spacing w:before="120" w:after="120"/>
        <w:ind w:left="1417" w:firstLine="0"/>
        <w:rPr>
          <w:rFonts w:ascii="Arial" w:eastAsia="Arial" w:hAnsi="Arial"/>
          <w:color w:val="000000"/>
          <w:sz w:val="24"/>
          <w:szCs w:val="24"/>
        </w:rPr>
      </w:pPr>
      <w:r>
        <w:rPr>
          <w:rFonts w:ascii="Arial" w:eastAsia="Arial" w:hAnsi="Arial"/>
          <w:color w:val="000000"/>
          <w:sz w:val="24"/>
          <w:szCs w:val="24"/>
        </w:rPr>
        <w:t xml:space="preserve">submit to the Relevant Authority for its approval, a draft Financial Distress Remediation Plan as soon as reasonably practicable (and in any event, within 10 Working Days of the initial notification (or </w:t>
      </w:r>
      <w:r>
        <w:rPr>
          <w:rFonts w:ascii="Arial" w:eastAsia="Arial" w:hAnsi="Arial"/>
          <w:color w:val="000000"/>
          <w:sz w:val="24"/>
          <w:szCs w:val="24"/>
        </w:rPr>
        <w:lastRenderedPageBreak/>
        <w:t>awareness) of the Financial Distress Event or such ot</w:t>
      </w:r>
      <w:r>
        <w:rPr>
          <w:rFonts w:ascii="Arial" w:eastAsia="Arial" w:hAnsi="Arial"/>
          <w:color w:val="000000"/>
          <w:sz w:val="24"/>
          <w:szCs w:val="24"/>
        </w:rPr>
        <w:t>her period as the Relevant Authority may permit and notify to the Supplier in writing); and</w:t>
      </w:r>
    </w:p>
    <w:p w:rsidR="00172EA7" w:rsidRDefault="00BE62DE">
      <w:pPr>
        <w:numPr>
          <w:ilvl w:val="3"/>
          <w:numId w:val="1"/>
        </w:numPr>
        <w:pBdr>
          <w:top w:val="nil"/>
          <w:left w:val="nil"/>
          <w:bottom w:val="nil"/>
          <w:right w:val="nil"/>
          <w:between w:val="nil"/>
        </w:pBdr>
        <w:tabs>
          <w:tab w:val="left" w:pos="1985"/>
        </w:tabs>
        <w:spacing w:before="120" w:after="120"/>
        <w:ind w:left="1417" w:firstLine="0"/>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w:t>
      </w:r>
      <w:r>
        <w:rPr>
          <w:rFonts w:ascii="Arial" w:eastAsia="Arial" w:hAnsi="Arial"/>
          <w:color w:val="000000"/>
          <w:sz w:val="24"/>
          <w:szCs w:val="24"/>
        </w:rPr>
        <w:t xml:space="preserve"> the risk to the Deliverables, which may include forecasts in relation to cash flow, orders and profits and details of financial measures being considered to mitigate the impact of the Financial Distress Event.</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The Relevant Authority shall not withhold its</w:t>
      </w:r>
      <w:r>
        <w:rPr>
          <w:rFonts w:ascii="Arial" w:eastAsia="Arial" w:hAnsi="Arial"/>
          <w:color w:val="000000"/>
          <w:sz w:val="24"/>
          <w:szCs w:val="24"/>
        </w:rPr>
        <w:t xml:space="preserve"> approval of a draft Financial Distress Remediation Plan unreasonably. If the Relevant Authority does not approve the draft Financial Distress Remediation Plan, it shall inform the Supplier of its reasons and the Supplier shall take those reasons into acco</w:t>
      </w:r>
      <w:r>
        <w:rPr>
          <w:rFonts w:ascii="Arial" w:eastAsia="Arial" w:hAnsi="Arial"/>
          <w:color w:val="000000"/>
          <w:sz w:val="24"/>
          <w:szCs w:val="24"/>
        </w:rPr>
        <w:t>unt in the preparation of a further draft Financial Distress Remediation Plan, which shall be resubmitted to the Relevant Authority within 5 Working Days of the rejection of the first draft. This process shall be repeated until the Financial Distress Remed</w:t>
      </w:r>
      <w:r>
        <w:rPr>
          <w:rFonts w:ascii="Arial" w:eastAsia="Arial" w:hAnsi="Arial"/>
          <w:color w:val="000000"/>
          <w:sz w:val="24"/>
          <w:szCs w:val="24"/>
        </w:rPr>
        <w:t>iation Plan is approved by the Relevant Authority or referred to the Dispute Resolution Procedure set out in Clause 34 of the Core Terms under Paragraph 4.5.</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If the Relevant Authority considers that the draft Financial Distress Remediation Plan is insuffic</w:t>
      </w:r>
      <w:r>
        <w:rPr>
          <w:rFonts w:ascii="Arial" w:eastAsia="Arial" w:hAnsi="Arial"/>
          <w:color w:val="000000"/>
          <w:sz w:val="24"/>
          <w:szCs w:val="24"/>
        </w:rPr>
        <w:t>iently detailed to be properly evaluated, will take too long to complete or will not ensure the continued performance of the Supplier’s obligations in accordance with the Contract, then it may either agree a further time period for the development and agre</w:t>
      </w:r>
      <w:r>
        <w:rPr>
          <w:rFonts w:ascii="Arial" w:eastAsia="Arial" w:hAnsi="Arial"/>
          <w:color w:val="000000"/>
          <w:sz w:val="24"/>
          <w:szCs w:val="24"/>
        </w:rPr>
        <w:t>ement of the Financial Distress Remediation Plan or escalate any issues with the draft Financial Distress Remediation Plan using the Dispute Resolution Procedure in Clause 34 of the Core Terms.</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 xml:space="preserve">Following approval of the Financial Distress Remediation Plan </w:t>
      </w:r>
      <w:r>
        <w:rPr>
          <w:rFonts w:ascii="Arial" w:eastAsia="Arial" w:hAnsi="Arial"/>
          <w:color w:val="000000"/>
          <w:sz w:val="24"/>
          <w:szCs w:val="24"/>
        </w:rPr>
        <w:t>by the Relevant Authority, the Supplier shall:</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on a regular basis (which shall not be less than fortnightly):</w:t>
      </w:r>
    </w:p>
    <w:p w:rsidR="00172EA7" w:rsidRDefault="00BE62DE">
      <w:pPr>
        <w:numPr>
          <w:ilvl w:val="3"/>
          <w:numId w:val="1"/>
        </w:numPr>
        <w:pBdr>
          <w:top w:val="nil"/>
          <w:left w:val="nil"/>
          <w:bottom w:val="nil"/>
          <w:right w:val="nil"/>
          <w:between w:val="nil"/>
        </w:pBdr>
        <w:tabs>
          <w:tab w:val="left" w:pos="1985"/>
        </w:tabs>
        <w:spacing w:before="120" w:after="120"/>
        <w:ind w:left="1417" w:firstLine="0"/>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w:t>
      </w:r>
      <w:r>
        <w:rPr>
          <w:rFonts w:ascii="Arial" w:eastAsia="Arial" w:hAnsi="Arial"/>
          <w:color w:val="000000"/>
          <w:sz w:val="24"/>
          <w:szCs w:val="24"/>
        </w:rPr>
        <w:t>rformance and delivery of the Deliverables in accordance with this Contract; and</w:t>
      </w:r>
    </w:p>
    <w:p w:rsidR="00172EA7" w:rsidRDefault="00BE62DE">
      <w:pPr>
        <w:numPr>
          <w:ilvl w:val="3"/>
          <w:numId w:val="1"/>
        </w:numPr>
        <w:pBdr>
          <w:top w:val="nil"/>
          <w:left w:val="nil"/>
          <w:bottom w:val="nil"/>
          <w:right w:val="nil"/>
          <w:between w:val="nil"/>
        </w:pBdr>
        <w:tabs>
          <w:tab w:val="left" w:pos="1985"/>
        </w:tabs>
        <w:spacing w:before="120" w:after="120"/>
        <w:ind w:left="1417" w:firstLine="0"/>
        <w:rPr>
          <w:rFonts w:ascii="Arial" w:eastAsia="Arial" w:hAnsi="Arial"/>
          <w:color w:val="000000"/>
          <w:sz w:val="24"/>
          <w:szCs w:val="24"/>
        </w:rPr>
      </w:pPr>
      <w:r>
        <w:rPr>
          <w:rFonts w:ascii="Arial" w:eastAsia="Arial" w:hAnsi="Arial"/>
          <w:color w:val="000000"/>
          <w:sz w:val="24"/>
          <w:szCs w:val="24"/>
        </w:rPr>
        <w:t xml:space="preserve">provide a written report to the Relevant Authority setting out its progress against the Financial Distress Remediation Plan, the reasons for any changes made to the Financial </w:t>
      </w:r>
      <w:r>
        <w:rPr>
          <w:rFonts w:ascii="Arial" w:eastAsia="Arial" w:hAnsi="Arial"/>
          <w:color w:val="000000"/>
          <w:sz w:val="24"/>
          <w:szCs w:val="24"/>
        </w:rPr>
        <w:t>Distress Remediation Plan by the Supplier and/or the reasons why the Supplier may have decided not to make any changes;</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where updates are made to the Financial Distress Remediation Plan in accordance with Paragraph 4.6.1, submit an updated Financial Distre</w:t>
      </w:r>
      <w:r>
        <w:rPr>
          <w:rFonts w:ascii="Arial" w:eastAsia="Arial" w:hAnsi="Arial"/>
          <w:color w:val="000000"/>
          <w:sz w:val="24"/>
          <w:szCs w:val="24"/>
        </w:rPr>
        <w:t>ss Remediation Plan to the Relevant Authority for its approval, and the provisions of Paragraphs 4.4 and 4.5 shall apply to the review and approval process for the updated Financial Distress Remediation Plan; and</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comply with the Financial Distress Remediat</w:t>
      </w:r>
      <w:r>
        <w:rPr>
          <w:rFonts w:ascii="Arial" w:eastAsia="Arial" w:hAnsi="Arial"/>
          <w:color w:val="000000"/>
          <w:sz w:val="24"/>
          <w:szCs w:val="24"/>
        </w:rPr>
        <w:t xml:space="preserve">ion Plan (including any updated Financial Distress Remediation Plan) and ensure that it achieves the </w:t>
      </w:r>
      <w:r>
        <w:rPr>
          <w:rFonts w:ascii="Arial" w:eastAsia="Arial" w:hAnsi="Arial"/>
          <w:color w:val="000000"/>
          <w:sz w:val="24"/>
          <w:szCs w:val="24"/>
        </w:rPr>
        <w:lastRenderedPageBreak/>
        <w:t>financial and performance requirements set out in the Financial Distress Remediation Plan.</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Where the Supplier reasonably believes that the relevant Financi</w:t>
      </w:r>
      <w:r>
        <w:rPr>
          <w:rFonts w:ascii="Arial" w:eastAsia="Arial" w:hAnsi="Arial"/>
          <w:color w:val="000000"/>
          <w:sz w:val="24"/>
          <w:szCs w:val="24"/>
        </w:rPr>
        <w:t>al Distress Event under Paragraph 4.1 (or the circumstance or matter which has caused or otherwise led to it) no longer exists, it shall notify the Relevant Authority and the Parties may agree that the Supplier shall be relieved of its obligations under Pa</w:t>
      </w:r>
      <w:r>
        <w:rPr>
          <w:rFonts w:ascii="Arial" w:eastAsia="Arial" w:hAnsi="Arial"/>
          <w:color w:val="000000"/>
          <w:sz w:val="24"/>
          <w:szCs w:val="24"/>
        </w:rPr>
        <w:t>ragraph 4.6.</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w:t>
      </w:r>
      <w:r>
        <w:rPr>
          <w:rFonts w:ascii="Arial" w:eastAsia="Arial" w:hAnsi="Arial"/>
          <w:color w:val="000000"/>
          <w:sz w:val="24"/>
          <w:szCs w:val="24"/>
        </w:rPr>
        <w:t>scales. Such measures may include:</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agreeing in advanc</w:t>
      </w:r>
      <w:r>
        <w:rPr>
          <w:rFonts w:ascii="Arial" w:eastAsia="Arial" w:hAnsi="Arial"/>
          <w:color w:val="000000"/>
          <w:sz w:val="24"/>
          <w:szCs w:val="24"/>
        </w:rPr>
        <w:t>e with the Relevant Authority, Key Sub-contractors, the Guarantor and/or Monitored Suppliers a form of confidentiality agreement to be entered by the relevant parties to enable the disclosure of the information to the Relevant Authority;</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putting in place a</w:t>
      </w:r>
      <w:r>
        <w:rPr>
          <w:rFonts w:ascii="Arial" w:eastAsia="Arial" w:hAnsi="Arial"/>
          <w:color w:val="000000"/>
          <w:sz w:val="24"/>
          <w:szCs w:val="24"/>
        </w:rPr>
        <w:t>ny other reasonable arrangements to enable the information to be lawfully disclosed to the Relevant Authority (which may include making price sensitive information available to the Relevant Authority’s nominated personnel through confidential arrangements,</w:t>
      </w:r>
      <w:r>
        <w:rPr>
          <w:rFonts w:ascii="Arial" w:eastAsia="Arial" w:hAnsi="Arial"/>
          <w:color w:val="000000"/>
          <w:sz w:val="24"/>
          <w:szCs w:val="24"/>
        </w:rPr>
        <w:t xml:space="preserve"> subject to their consent); and</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disclosing the information to the fullest extent that it is lawfully entitled to do so, including through the use of redaction, anonymisation and any other techniques to permit disclosure of the information without breaching</w:t>
      </w:r>
      <w:r>
        <w:rPr>
          <w:rFonts w:ascii="Arial" w:eastAsia="Arial" w:hAnsi="Arial"/>
          <w:color w:val="000000"/>
          <w:sz w:val="24"/>
          <w:szCs w:val="24"/>
        </w:rPr>
        <w:t xml:space="preserve"> a duty of confidentiality.</w:t>
      </w:r>
    </w:p>
    <w:p w:rsidR="00172EA7" w:rsidRDefault="00BE62DE">
      <w:pPr>
        <w:pStyle w:val="Heading2"/>
        <w:numPr>
          <w:ilvl w:val="0"/>
          <w:numId w:val="1"/>
        </w:numPr>
        <w:tabs>
          <w:tab w:val="left" w:pos="142"/>
        </w:tabs>
        <w:spacing w:before="120"/>
        <w:jc w:val="left"/>
      </w:pPr>
      <w:bookmarkStart w:id="6" w:name="_heading=h.sn3068hrog5i" w:colFirst="0" w:colLast="0"/>
      <w:bookmarkEnd w:id="6"/>
      <w:r>
        <w:t>Financial Indicators</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w:t>
      </w:r>
      <w:r>
        <w:rPr>
          <w:rFonts w:ascii="Arial" w:eastAsia="Arial" w:hAnsi="Arial"/>
          <w:color w:val="000000"/>
          <w:sz w:val="24"/>
          <w:szCs w:val="24"/>
        </w:rPr>
        <w:t xml:space="preserve"> occurred in respect of those Financial Indicators, shall be as follows:</w:t>
      </w:r>
    </w:p>
    <w:tbl>
      <w:tblPr>
        <w:tblStyle w:val="a8"/>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0"/>
        <w:gridCol w:w="2205"/>
        <w:gridCol w:w="1560"/>
        <w:gridCol w:w="3630"/>
      </w:tblGrid>
      <w:tr w:rsidR="00172EA7">
        <w:tc>
          <w:tcPr>
            <w:tcW w:w="1620" w:type="dxa"/>
            <w:shd w:val="clear" w:color="auto" w:fill="D9D9D9"/>
            <w:vAlign w:val="center"/>
          </w:tcPr>
          <w:p w:rsidR="00172EA7" w:rsidRDefault="00BE62DE">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2205" w:type="dxa"/>
            <w:shd w:val="clear" w:color="auto" w:fill="D9D9D9"/>
            <w:vAlign w:val="center"/>
          </w:tcPr>
          <w:p w:rsidR="00172EA7" w:rsidRDefault="00BE62DE">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560" w:type="dxa"/>
            <w:shd w:val="clear" w:color="auto" w:fill="D9D9D9"/>
            <w:vAlign w:val="center"/>
          </w:tcPr>
          <w:p w:rsidR="00172EA7" w:rsidRDefault="00BE62DE">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630" w:type="dxa"/>
            <w:shd w:val="clear" w:color="auto" w:fill="D9D9D9"/>
            <w:vAlign w:val="center"/>
          </w:tcPr>
          <w:p w:rsidR="00172EA7" w:rsidRDefault="00BE62DE">
            <w:pPr>
              <w:pBdr>
                <w:top w:val="nil"/>
                <w:left w:val="nil"/>
                <w:bottom w:val="nil"/>
                <w:right w:val="nil"/>
                <w:between w:val="nil"/>
              </w:pBdr>
              <w:spacing w:before="100" w:after="200"/>
              <w:jc w:val="center"/>
              <w:rPr>
                <w:rFonts w:ascii="Arial" w:eastAsia="Arial" w:hAnsi="Arial"/>
                <w:b/>
                <w:color w:val="000000"/>
                <w:sz w:val="24"/>
                <w:szCs w:val="24"/>
              </w:rPr>
            </w:pPr>
            <w:bookmarkStart w:id="7" w:name="_heading=h.1ci93xb" w:colFirst="0" w:colLast="0"/>
            <w:bookmarkEnd w:id="7"/>
            <w:r>
              <w:rPr>
                <w:rFonts w:ascii="Arial" w:eastAsia="Arial" w:hAnsi="Arial"/>
                <w:b/>
                <w:color w:val="000000"/>
                <w:sz w:val="24"/>
                <w:szCs w:val="24"/>
              </w:rPr>
              <w:t xml:space="preserve">Monitoring and Reporting Frequency </w:t>
            </w:r>
          </w:p>
        </w:tc>
      </w:tr>
      <w:tr w:rsidR="00172EA7">
        <w:tc>
          <w:tcPr>
            <w:tcW w:w="1620" w:type="dxa"/>
            <w:vAlign w:val="center"/>
          </w:tcPr>
          <w:p w:rsidR="00172EA7" w:rsidRDefault="00BE62D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 xml:space="preserve">1 </w:t>
            </w:r>
          </w:p>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t>Turnover ratio</w:t>
            </w:r>
          </w:p>
        </w:tc>
        <w:tc>
          <w:tcPr>
            <w:tcW w:w="2205" w:type="dxa"/>
            <w:vAlign w:val="center"/>
          </w:tcPr>
          <w:p w:rsidR="00172EA7" w:rsidRDefault="00172EA7">
            <w:pPr>
              <w:pBdr>
                <w:top w:val="nil"/>
                <w:left w:val="nil"/>
                <w:bottom w:val="nil"/>
                <w:right w:val="nil"/>
                <w:between w:val="nil"/>
              </w:pBdr>
              <w:spacing w:before="100" w:after="200"/>
              <w:jc w:val="center"/>
              <w:rPr>
                <w:rFonts w:ascii="Arial" w:eastAsia="Arial" w:hAnsi="Arial"/>
                <w:i/>
                <w:sz w:val="24"/>
                <w:szCs w:val="24"/>
              </w:rPr>
            </w:pPr>
          </w:p>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Turnover Ratio =Total Income/Annual Contract Value</w:t>
            </w:r>
          </w:p>
          <w:p w:rsidR="00172EA7" w:rsidRDefault="00172EA7">
            <w:pPr>
              <w:pBdr>
                <w:top w:val="nil"/>
                <w:left w:val="nil"/>
                <w:bottom w:val="nil"/>
                <w:right w:val="nil"/>
                <w:between w:val="nil"/>
              </w:pBdr>
              <w:spacing w:before="100" w:after="200"/>
              <w:jc w:val="center"/>
              <w:rPr>
                <w:rFonts w:ascii="Arial" w:eastAsia="Arial" w:hAnsi="Arial"/>
                <w:i/>
                <w:sz w:val="24"/>
                <w:szCs w:val="24"/>
              </w:rPr>
            </w:pPr>
          </w:p>
        </w:tc>
        <w:tc>
          <w:tcPr>
            <w:tcW w:w="1560" w:type="dxa"/>
            <w:vAlign w:val="center"/>
          </w:tcPr>
          <w:p w:rsidR="00172EA7" w:rsidRDefault="00BE62D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sz w:val="24"/>
                <w:szCs w:val="24"/>
              </w:rPr>
              <w:lastRenderedPageBreak/>
              <w:t>&gt; 2.5 times</w:t>
            </w:r>
          </w:p>
        </w:tc>
        <w:tc>
          <w:tcPr>
            <w:tcW w:w="3630" w:type="dxa"/>
            <w:vAlign w:val="center"/>
          </w:tcPr>
          <w:p w:rsidR="00172EA7" w:rsidRDefault="00BE62DE">
            <w:pPr>
              <w:spacing w:before="100" w:after="200"/>
              <w:jc w:val="center"/>
              <w:rPr>
                <w:rFonts w:ascii="Arial" w:eastAsia="Arial" w:hAnsi="Arial"/>
                <w:i/>
                <w:sz w:val="24"/>
                <w:szCs w:val="24"/>
              </w:rPr>
            </w:pPr>
            <w:r>
              <w:rPr>
                <w:rFonts w:ascii="Arial" w:eastAsia="Arial" w:hAnsi="Arial"/>
                <w:i/>
                <w:sz w:val="24"/>
                <w:szCs w:val="24"/>
              </w:rPr>
              <w:t>Tested and reported yearly in arrears within 120 days of each accounting reference date based upon figures for the 12 months ending on the relevant accounting reference date</w:t>
            </w:r>
          </w:p>
        </w:tc>
      </w:tr>
      <w:tr w:rsidR="00172EA7">
        <w:tc>
          <w:tcPr>
            <w:tcW w:w="1620" w:type="dxa"/>
            <w:vAlign w:val="center"/>
          </w:tcPr>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t>2</w:t>
            </w:r>
          </w:p>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p w:rsidR="00172EA7" w:rsidRDefault="00172EA7">
            <w:pPr>
              <w:pBdr>
                <w:top w:val="nil"/>
                <w:left w:val="nil"/>
                <w:bottom w:val="nil"/>
                <w:right w:val="nil"/>
                <w:between w:val="nil"/>
              </w:pBdr>
              <w:spacing w:before="100" w:after="200"/>
              <w:jc w:val="left"/>
              <w:rPr>
                <w:rFonts w:ascii="Arial" w:eastAsia="Arial" w:hAnsi="Arial"/>
                <w:b/>
                <w:color w:val="000000"/>
                <w:sz w:val="24"/>
                <w:szCs w:val="24"/>
              </w:rPr>
            </w:pPr>
          </w:p>
        </w:tc>
        <w:tc>
          <w:tcPr>
            <w:tcW w:w="2205" w:type="dxa"/>
            <w:vAlign w:val="center"/>
          </w:tcPr>
          <w:p w:rsidR="00172EA7" w:rsidRDefault="00BE62D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Operating Margin = Operating Profit/ Revenue</w:t>
            </w:r>
          </w:p>
        </w:tc>
        <w:tc>
          <w:tcPr>
            <w:tcW w:w="1560" w:type="dxa"/>
            <w:vAlign w:val="center"/>
          </w:tcPr>
          <w:p w:rsidR="00172EA7" w:rsidRDefault="00BE62D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&gt; </w:t>
            </w:r>
            <w:r>
              <w:rPr>
                <w:rFonts w:ascii="Arial" w:eastAsia="Arial" w:hAnsi="Arial"/>
                <w:i/>
                <w:sz w:val="24"/>
                <w:szCs w:val="24"/>
              </w:rPr>
              <w:t>10</w:t>
            </w:r>
            <w:r>
              <w:rPr>
                <w:rFonts w:ascii="Arial" w:eastAsia="Arial" w:hAnsi="Arial"/>
                <w:i/>
                <w:color w:val="000000"/>
                <w:sz w:val="24"/>
                <w:szCs w:val="24"/>
              </w:rPr>
              <w:t>%</w:t>
            </w:r>
          </w:p>
        </w:tc>
        <w:tc>
          <w:tcPr>
            <w:tcW w:w="3630" w:type="dxa"/>
            <w:vAlign w:val="center"/>
          </w:tcPr>
          <w:p w:rsidR="00172EA7" w:rsidRDefault="00BE62D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proofErr w:type="gramStart"/>
            <w:r>
              <w:rPr>
                <w:rFonts w:ascii="Arial" w:eastAsia="Arial" w:hAnsi="Arial"/>
                <w:i/>
                <w:color w:val="000000"/>
                <w:sz w:val="24"/>
                <w:szCs w:val="24"/>
              </w:rPr>
              <w:t>120  days</w:t>
            </w:r>
            <w:proofErr w:type="gramEnd"/>
            <w:r>
              <w:rPr>
                <w:rFonts w:ascii="Arial" w:eastAsia="Arial" w:hAnsi="Arial"/>
                <w:i/>
                <w:color w:val="000000"/>
                <w:sz w:val="24"/>
                <w:szCs w:val="24"/>
              </w:rPr>
              <w:t xml:space="preserve"> of each accounting reference </w:t>
            </w:r>
            <w:r>
              <w:rPr>
                <w:rFonts w:ascii="Arial" w:eastAsia="Arial" w:hAnsi="Arial"/>
                <w:i/>
                <w:sz w:val="24"/>
                <w:szCs w:val="24"/>
              </w:rPr>
              <w:t>date based</w:t>
            </w:r>
            <w:r>
              <w:rPr>
                <w:rFonts w:ascii="Arial" w:eastAsia="Arial" w:hAnsi="Arial"/>
                <w:i/>
                <w:color w:val="000000"/>
                <w:sz w:val="24"/>
                <w:szCs w:val="24"/>
              </w:rPr>
              <w:t xml:space="preserve"> upon figures for the 12 months ending on the relevant accounting reference date </w:t>
            </w:r>
          </w:p>
        </w:tc>
      </w:tr>
      <w:tr w:rsidR="00172EA7">
        <w:tc>
          <w:tcPr>
            <w:tcW w:w="1620" w:type="dxa"/>
            <w:vAlign w:val="center"/>
          </w:tcPr>
          <w:p w:rsidR="00172EA7" w:rsidRDefault="00BE62D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3</w:t>
            </w:r>
          </w:p>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2205" w:type="dxa"/>
            <w:vAlign w:val="center"/>
          </w:tcPr>
          <w:p w:rsidR="00172EA7" w:rsidRDefault="00BE62D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to EBITDA ratio = Net Debt / EBITDA</w:t>
            </w:r>
          </w:p>
        </w:tc>
        <w:tc>
          <w:tcPr>
            <w:tcW w:w="1560" w:type="dxa"/>
            <w:vAlign w:val="center"/>
          </w:tcPr>
          <w:p w:rsidR="00172EA7" w:rsidRDefault="00172EA7">
            <w:pPr>
              <w:pBdr>
                <w:top w:val="nil"/>
                <w:left w:val="nil"/>
                <w:bottom w:val="nil"/>
                <w:right w:val="nil"/>
                <w:between w:val="nil"/>
              </w:pBdr>
              <w:spacing w:before="100" w:after="200"/>
              <w:jc w:val="center"/>
              <w:rPr>
                <w:rFonts w:ascii="Arial" w:eastAsia="Arial" w:hAnsi="Arial"/>
                <w:i/>
                <w:color w:val="000000"/>
                <w:sz w:val="24"/>
                <w:szCs w:val="24"/>
              </w:rPr>
            </w:pPr>
          </w:p>
          <w:p w:rsidR="00172EA7" w:rsidRDefault="00BE62D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&lt; </w:t>
            </w:r>
            <w:r>
              <w:rPr>
                <w:rFonts w:ascii="Arial" w:eastAsia="Arial" w:hAnsi="Arial"/>
                <w:i/>
                <w:sz w:val="24"/>
                <w:szCs w:val="24"/>
              </w:rPr>
              <w:t>2.0</w:t>
            </w:r>
            <w:r>
              <w:rPr>
                <w:rFonts w:ascii="Arial" w:eastAsia="Arial" w:hAnsi="Arial"/>
                <w:i/>
                <w:color w:val="000000"/>
                <w:sz w:val="24"/>
                <w:szCs w:val="24"/>
              </w:rPr>
              <w:t xml:space="preserve"> times</w:t>
            </w:r>
          </w:p>
        </w:tc>
        <w:tc>
          <w:tcPr>
            <w:tcW w:w="3630"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 xml:space="preserve">Tested and reported </w:t>
            </w:r>
            <w:proofErr w:type="gramStart"/>
            <w:r>
              <w:rPr>
                <w:rFonts w:ascii="Arial" w:eastAsia="Arial" w:hAnsi="Arial"/>
                <w:i/>
                <w:sz w:val="24"/>
                <w:szCs w:val="24"/>
              </w:rPr>
              <w:t>yearly  in</w:t>
            </w:r>
            <w:proofErr w:type="gramEnd"/>
            <w:r>
              <w:rPr>
                <w:rFonts w:ascii="Arial" w:eastAsia="Arial" w:hAnsi="Arial"/>
                <w:i/>
                <w:sz w:val="24"/>
                <w:szCs w:val="24"/>
              </w:rPr>
              <w:t xml:space="preserve"> arrears within 120 days of each accounting reference </w:t>
            </w:r>
            <w:r>
              <w:rPr>
                <w:rFonts w:ascii="Arial" w:eastAsia="Arial" w:hAnsi="Arial"/>
                <w:i/>
                <w:sz w:val="24"/>
                <w:szCs w:val="24"/>
              </w:rPr>
              <w:t>date based</w:t>
            </w:r>
            <w:r>
              <w:rPr>
                <w:rFonts w:ascii="Arial" w:eastAsia="Arial" w:hAnsi="Arial"/>
                <w:i/>
                <w:sz w:val="24"/>
                <w:szCs w:val="24"/>
              </w:rPr>
              <w:t xml:space="preserve"> upon EBITDA for the 12 months ending on, and Net Debt at, the relevant accounting reference date</w:t>
            </w:r>
          </w:p>
        </w:tc>
      </w:tr>
      <w:tr w:rsidR="00172EA7">
        <w:tc>
          <w:tcPr>
            <w:tcW w:w="1620" w:type="dxa"/>
            <w:vAlign w:val="center"/>
          </w:tcPr>
          <w:p w:rsidR="00172EA7" w:rsidRDefault="00BE62D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4</w:t>
            </w:r>
          </w:p>
          <w:p w:rsidR="00172EA7" w:rsidRDefault="00BE62D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Net Debt + Net Pension Deficit to EBITDA ratio</w:t>
            </w:r>
          </w:p>
        </w:tc>
        <w:tc>
          <w:tcPr>
            <w:tcW w:w="2205"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Net Debt + Net Pension Deficit to EBITDA Ratio = (Net Debt + Net Pension Deficit) / EBITDA</w:t>
            </w:r>
          </w:p>
        </w:tc>
        <w:tc>
          <w:tcPr>
            <w:tcW w:w="1560"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 xml:space="preserve">&lt; </w:t>
            </w:r>
            <w:r>
              <w:rPr>
                <w:rFonts w:ascii="Arial" w:eastAsia="Arial" w:hAnsi="Arial"/>
                <w:i/>
                <w:sz w:val="24"/>
                <w:szCs w:val="24"/>
              </w:rPr>
              <w:t>3.5</w:t>
            </w:r>
            <w:r>
              <w:rPr>
                <w:rFonts w:ascii="Arial" w:eastAsia="Arial" w:hAnsi="Arial"/>
                <w:i/>
                <w:sz w:val="24"/>
                <w:szCs w:val="24"/>
              </w:rPr>
              <w:t xml:space="preserve"> times</w:t>
            </w:r>
          </w:p>
        </w:tc>
        <w:tc>
          <w:tcPr>
            <w:tcW w:w="3630"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Tested and reported yearly in arrears within 90 days of each accounting reference date based upon EBITDA for the 12 months ending on, and the Net Debt an</w:t>
            </w:r>
            <w:r>
              <w:rPr>
                <w:rFonts w:ascii="Arial" w:eastAsia="Arial" w:hAnsi="Arial"/>
                <w:i/>
                <w:sz w:val="24"/>
                <w:szCs w:val="24"/>
              </w:rPr>
              <w:t>d Net Pension Deficit at, the relevant accounting reference date</w:t>
            </w:r>
          </w:p>
        </w:tc>
      </w:tr>
      <w:tr w:rsidR="00172EA7">
        <w:tc>
          <w:tcPr>
            <w:tcW w:w="1620" w:type="dxa"/>
            <w:vAlign w:val="center"/>
          </w:tcPr>
          <w:p w:rsidR="00172EA7" w:rsidRDefault="00BE62D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5</w:t>
            </w:r>
          </w:p>
          <w:p w:rsidR="00172EA7" w:rsidRDefault="00BE62D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Net Interest Paid Cover</w:t>
            </w:r>
          </w:p>
        </w:tc>
        <w:tc>
          <w:tcPr>
            <w:tcW w:w="2205"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Net Interest Paid Cover = Earnings Before Interest and Tax / Net Interest Paid</w:t>
            </w:r>
          </w:p>
        </w:tc>
        <w:tc>
          <w:tcPr>
            <w:tcW w:w="1560"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 xml:space="preserve">&gt; </w:t>
            </w:r>
            <w:r>
              <w:rPr>
                <w:rFonts w:ascii="Arial" w:eastAsia="Arial" w:hAnsi="Arial"/>
                <w:i/>
                <w:sz w:val="24"/>
                <w:szCs w:val="24"/>
              </w:rPr>
              <w:t>4.5</w:t>
            </w:r>
            <w:r>
              <w:rPr>
                <w:rFonts w:ascii="Arial" w:eastAsia="Arial" w:hAnsi="Arial"/>
                <w:i/>
                <w:sz w:val="24"/>
                <w:szCs w:val="24"/>
              </w:rPr>
              <w:t xml:space="preserve"> times</w:t>
            </w:r>
          </w:p>
        </w:tc>
        <w:tc>
          <w:tcPr>
            <w:tcW w:w="3630"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 xml:space="preserve">Tested and reported </w:t>
            </w:r>
            <w:proofErr w:type="gramStart"/>
            <w:r>
              <w:rPr>
                <w:rFonts w:ascii="Arial" w:eastAsia="Arial" w:hAnsi="Arial"/>
                <w:i/>
                <w:sz w:val="24"/>
                <w:szCs w:val="24"/>
              </w:rPr>
              <w:t>yearly  in</w:t>
            </w:r>
            <w:proofErr w:type="gramEnd"/>
            <w:r>
              <w:rPr>
                <w:rFonts w:ascii="Arial" w:eastAsia="Arial" w:hAnsi="Arial"/>
                <w:i/>
                <w:sz w:val="24"/>
                <w:szCs w:val="24"/>
              </w:rPr>
              <w:t xml:space="preserve"> arrears within 120 days of each [accounting reference date  based upon figures for the 12 months ending on the relevant accounting reference date </w:t>
            </w:r>
          </w:p>
        </w:tc>
      </w:tr>
      <w:tr w:rsidR="00172EA7">
        <w:tc>
          <w:tcPr>
            <w:tcW w:w="1620" w:type="dxa"/>
            <w:vAlign w:val="center"/>
          </w:tcPr>
          <w:p w:rsidR="00172EA7" w:rsidRDefault="00BE62D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6</w:t>
            </w:r>
          </w:p>
          <w:p w:rsidR="00172EA7" w:rsidRDefault="00BE62D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Acid Ratio</w:t>
            </w:r>
          </w:p>
        </w:tc>
        <w:tc>
          <w:tcPr>
            <w:tcW w:w="2205"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Acid Ratio = (Current Assets – Inventories) / Current Liabilities</w:t>
            </w:r>
          </w:p>
        </w:tc>
        <w:tc>
          <w:tcPr>
            <w:tcW w:w="1560"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 xml:space="preserve">&gt; </w:t>
            </w:r>
            <w:r>
              <w:rPr>
                <w:rFonts w:ascii="Arial" w:eastAsia="Arial" w:hAnsi="Arial"/>
                <w:i/>
                <w:sz w:val="24"/>
                <w:szCs w:val="24"/>
              </w:rPr>
              <w:t>2.0</w:t>
            </w:r>
            <w:r>
              <w:rPr>
                <w:rFonts w:ascii="Arial" w:eastAsia="Arial" w:hAnsi="Arial"/>
                <w:i/>
                <w:sz w:val="24"/>
                <w:szCs w:val="24"/>
              </w:rPr>
              <w:t xml:space="preserve"> times</w:t>
            </w:r>
          </w:p>
        </w:tc>
        <w:tc>
          <w:tcPr>
            <w:tcW w:w="3630"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 xml:space="preserve">Tested and reported yearly in arrears within </w:t>
            </w:r>
            <w:proofErr w:type="gramStart"/>
            <w:r>
              <w:rPr>
                <w:rFonts w:ascii="Arial" w:eastAsia="Arial" w:hAnsi="Arial"/>
                <w:i/>
                <w:sz w:val="24"/>
                <w:szCs w:val="24"/>
              </w:rPr>
              <w:t>120  days</w:t>
            </w:r>
            <w:proofErr w:type="gramEnd"/>
            <w:r>
              <w:rPr>
                <w:rFonts w:ascii="Arial" w:eastAsia="Arial" w:hAnsi="Arial"/>
                <w:i/>
                <w:sz w:val="24"/>
                <w:szCs w:val="24"/>
              </w:rPr>
              <w:t xml:space="preserve"> of each accounting reference date based upon figures at the relevant accounting reference date </w:t>
            </w:r>
          </w:p>
        </w:tc>
      </w:tr>
      <w:tr w:rsidR="00172EA7">
        <w:tc>
          <w:tcPr>
            <w:tcW w:w="1620" w:type="dxa"/>
            <w:vAlign w:val="center"/>
          </w:tcPr>
          <w:p w:rsidR="00172EA7" w:rsidRDefault="00BE62D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7</w:t>
            </w:r>
          </w:p>
          <w:p w:rsidR="00172EA7" w:rsidRDefault="00BE62D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Net Asset value</w:t>
            </w:r>
          </w:p>
        </w:tc>
        <w:tc>
          <w:tcPr>
            <w:tcW w:w="2205"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Net Asset Value = Net Assets</w:t>
            </w:r>
          </w:p>
        </w:tc>
        <w:tc>
          <w:tcPr>
            <w:tcW w:w="1560"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&gt; £0</w:t>
            </w:r>
          </w:p>
        </w:tc>
        <w:tc>
          <w:tcPr>
            <w:tcW w:w="3630"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 xml:space="preserve">Tested and reported yearly in arrears within 120 days of each accounting reference date based upon figures at the </w:t>
            </w:r>
            <w:r>
              <w:rPr>
                <w:rFonts w:ascii="Arial" w:eastAsia="Arial" w:hAnsi="Arial"/>
                <w:i/>
                <w:sz w:val="24"/>
                <w:szCs w:val="24"/>
              </w:rPr>
              <w:lastRenderedPageBreak/>
              <w:t>relevant accounting reference date</w:t>
            </w:r>
          </w:p>
        </w:tc>
      </w:tr>
      <w:tr w:rsidR="00172EA7">
        <w:tc>
          <w:tcPr>
            <w:tcW w:w="1620" w:type="dxa"/>
            <w:vAlign w:val="center"/>
          </w:tcPr>
          <w:p w:rsidR="00172EA7" w:rsidRDefault="00BE62D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lastRenderedPageBreak/>
              <w:t>8</w:t>
            </w:r>
          </w:p>
          <w:p w:rsidR="00172EA7" w:rsidRDefault="00BE62D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Group Exposure Ratio</w:t>
            </w:r>
          </w:p>
        </w:tc>
        <w:tc>
          <w:tcPr>
            <w:tcW w:w="2205"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Group Exposure/ Gross Assets</w:t>
            </w:r>
          </w:p>
        </w:tc>
        <w:tc>
          <w:tcPr>
            <w:tcW w:w="1560"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 xml:space="preserve">&lt; </w:t>
            </w:r>
            <w:r>
              <w:rPr>
                <w:rFonts w:ascii="Arial" w:eastAsia="Arial" w:hAnsi="Arial"/>
                <w:i/>
                <w:sz w:val="24"/>
                <w:szCs w:val="24"/>
              </w:rPr>
              <w:t>25</w:t>
            </w:r>
            <w:r>
              <w:rPr>
                <w:rFonts w:ascii="Arial" w:eastAsia="Arial" w:hAnsi="Arial"/>
                <w:i/>
                <w:sz w:val="24"/>
                <w:szCs w:val="24"/>
              </w:rPr>
              <w:t>%</w:t>
            </w:r>
          </w:p>
        </w:tc>
        <w:tc>
          <w:tcPr>
            <w:tcW w:w="3630" w:type="dxa"/>
            <w:vAlign w:val="center"/>
          </w:tcPr>
          <w:p w:rsidR="00172EA7" w:rsidRDefault="00BE62DE">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Tested and reported yearly in arrears within 90 days of each accounting reference date based upon figures at the relevant accounting reference date</w:t>
            </w:r>
          </w:p>
        </w:tc>
      </w:tr>
    </w:tbl>
    <w:p w:rsidR="00172EA7" w:rsidRDefault="00BE62DE">
      <w:pPr>
        <w:pBdr>
          <w:top w:val="nil"/>
          <w:left w:val="nil"/>
          <w:bottom w:val="nil"/>
          <w:right w:val="nil"/>
          <w:between w:val="nil"/>
        </w:pBdr>
        <w:tabs>
          <w:tab w:val="left" w:pos="142"/>
        </w:tabs>
        <w:spacing w:before="120"/>
        <w:rPr>
          <w:rFonts w:ascii="Arial" w:eastAsia="Arial" w:hAnsi="Arial"/>
          <w:color w:val="000000"/>
          <w:sz w:val="24"/>
          <w:szCs w:val="24"/>
        </w:rPr>
      </w:pPr>
      <w:r>
        <w:rPr>
          <w:rFonts w:ascii="Arial" w:eastAsia="Arial" w:hAnsi="Arial"/>
          <w:color w:val="000000"/>
          <w:sz w:val="24"/>
          <w:szCs w:val="24"/>
        </w:rPr>
        <w:t>Key: 1 – see Annex 3 to this Schedule which sets out the calculation methodology to be used in the calculat</w:t>
      </w:r>
      <w:r>
        <w:rPr>
          <w:rFonts w:ascii="Arial" w:eastAsia="Arial" w:hAnsi="Arial"/>
          <w:color w:val="000000"/>
          <w:sz w:val="24"/>
          <w:szCs w:val="24"/>
        </w:rPr>
        <w:t>ion of each financial indicator.</w:t>
      </w:r>
    </w:p>
    <w:p w:rsidR="00172EA7" w:rsidRDefault="00172EA7">
      <w:pPr>
        <w:pBdr>
          <w:top w:val="nil"/>
          <w:left w:val="nil"/>
          <w:bottom w:val="nil"/>
          <w:right w:val="nil"/>
          <w:between w:val="nil"/>
        </w:pBdr>
        <w:tabs>
          <w:tab w:val="left" w:pos="142"/>
        </w:tabs>
        <w:spacing w:before="120"/>
        <w:rPr>
          <w:rFonts w:ascii="Arial" w:eastAsia="Arial" w:hAnsi="Arial"/>
          <w:sz w:val="24"/>
          <w:szCs w:val="24"/>
        </w:rPr>
      </w:pPr>
    </w:p>
    <w:p w:rsidR="00172EA7" w:rsidRDefault="00BE62DE">
      <w:pPr>
        <w:numPr>
          <w:ilvl w:val="1"/>
          <w:numId w:val="1"/>
        </w:numPr>
        <w:pBdr>
          <w:top w:val="nil"/>
          <w:left w:val="nil"/>
          <w:bottom w:val="nil"/>
          <w:right w:val="nil"/>
          <w:between w:val="nil"/>
        </w:pBdr>
        <w:tabs>
          <w:tab w:val="left" w:pos="1134"/>
        </w:tabs>
        <w:spacing w:before="120" w:after="120"/>
        <w:ind w:left="708" w:hanging="708"/>
        <w:jc w:val="left"/>
        <w:rPr>
          <w:color w:val="000000"/>
        </w:rPr>
      </w:pPr>
      <w:r>
        <w:rPr>
          <w:rFonts w:ascii="Arial" w:eastAsia="Arial" w:hAnsi="Arial"/>
          <w:color w:val="000000"/>
          <w:sz w:val="24"/>
          <w:szCs w:val="24"/>
        </w:rPr>
        <w:t xml:space="preserve">Monitored Suppliers </w:t>
      </w:r>
    </w:p>
    <w:p w:rsidR="00172EA7" w:rsidRDefault="00172EA7">
      <w:pPr>
        <w:pBdr>
          <w:top w:val="nil"/>
          <w:left w:val="nil"/>
          <w:bottom w:val="nil"/>
          <w:right w:val="nil"/>
          <w:between w:val="nil"/>
        </w:pBdr>
        <w:tabs>
          <w:tab w:val="left" w:pos="1134"/>
        </w:tabs>
        <w:spacing w:before="120" w:after="120"/>
        <w:jc w:val="left"/>
        <w:rPr>
          <w:rFonts w:ascii="Arial" w:eastAsia="Arial" w:hAnsi="Arial"/>
          <w:color w:val="000000"/>
          <w:sz w:val="24"/>
          <w:szCs w:val="24"/>
        </w:rPr>
      </w:pPr>
    </w:p>
    <w:tbl>
      <w:tblPr>
        <w:tblStyle w:val="a9"/>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172EA7">
        <w:tc>
          <w:tcPr>
            <w:tcW w:w="4073" w:type="dxa"/>
            <w:shd w:val="clear" w:color="auto" w:fill="D9D9D9"/>
          </w:tcPr>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bookmarkStart w:id="8" w:name="_heading=h.3whwml4" w:colFirst="0" w:colLast="0"/>
            <w:bookmarkEnd w:id="8"/>
            <w:r>
              <w:rPr>
                <w:rFonts w:ascii="Arial" w:eastAsia="Arial" w:hAnsi="Arial"/>
                <w:color w:val="000000"/>
                <w:sz w:val="24"/>
                <w:szCs w:val="24"/>
              </w:rPr>
              <w:t>(these are the Financial Indicators from the table in Paragraph 5.1 which are to apply to the Monitored Suppliers)</w:t>
            </w:r>
          </w:p>
        </w:tc>
      </w:tr>
      <w:tr w:rsidR="00172EA7">
        <w:tc>
          <w:tcPr>
            <w:tcW w:w="4073" w:type="dxa"/>
          </w:tcPr>
          <w:p w:rsidR="00172EA7" w:rsidRDefault="00BE62DE">
            <w:pPr>
              <w:pBdr>
                <w:top w:val="nil"/>
                <w:left w:val="nil"/>
                <w:bottom w:val="nil"/>
                <w:right w:val="nil"/>
                <w:between w:val="nil"/>
              </w:pBdr>
              <w:spacing w:before="100" w:after="200"/>
              <w:jc w:val="left"/>
              <w:rPr>
                <w:rFonts w:ascii="Arial" w:eastAsia="Arial" w:hAnsi="Arial"/>
                <w:sz w:val="24"/>
                <w:szCs w:val="24"/>
              </w:rPr>
            </w:pPr>
            <w:r>
              <w:rPr>
                <w:rFonts w:ascii="Arial" w:eastAsia="Arial" w:hAnsi="Arial"/>
                <w:sz w:val="24"/>
                <w:szCs w:val="24"/>
              </w:rPr>
              <w:t>Entity 1 Key Sub-Contractor</w:t>
            </w:r>
          </w:p>
          <w:p w:rsidR="00172EA7" w:rsidRDefault="00172EA7">
            <w:pPr>
              <w:pBdr>
                <w:top w:val="nil"/>
                <w:left w:val="nil"/>
                <w:bottom w:val="nil"/>
                <w:right w:val="nil"/>
                <w:between w:val="nil"/>
              </w:pBdr>
              <w:spacing w:before="100" w:after="200"/>
              <w:jc w:val="left"/>
              <w:rPr>
                <w:rFonts w:ascii="Arial" w:eastAsia="Arial" w:hAnsi="Arial"/>
                <w:sz w:val="24"/>
                <w:szCs w:val="24"/>
              </w:rPr>
            </w:pPr>
          </w:p>
        </w:tc>
        <w:tc>
          <w:tcPr>
            <w:tcW w:w="4223" w:type="dxa"/>
          </w:tcPr>
          <w:p w:rsidR="00172EA7" w:rsidRDefault="00BE62DE">
            <w:pPr>
              <w:pBdr>
                <w:top w:val="nil"/>
                <w:left w:val="nil"/>
                <w:bottom w:val="nil"/>
                <w:right w:val="nil"/>
                <w:between w:val="nil"/>
              </w:pBdr>
              <w:spacing w:before="100" w:after="200"/>
              <w:jc w:val="left"/>
              <w:rPr>
                <w:rFonts w:ascii="Arial" w:eastAsia="Arial" w:hAnsi="Arial"/>
                <w:sz w:val="24"/>
                <w:szCs w:val="24"/>
              </w:rPr>
            </w:pPr>
            <w:r>
              <w:rPr>
                <w:rFonts w:ascii="Arial" w:eastAsia="Arial" w:hAnsi="Arial"/>
                <w:sz w:val="24"/>
                <w:szCs w:val="24"/>
              </w:rPr>
              <w:t>[2 Operating Margin]</w:t>
            </w:r>
          </w:p>
          <w:p w:rsidR="00172EA7" w:rsidRDefault="00BE62DE">
            <w:pPr>
              <w:pBdr>
                <w:top w:val="nil"/>
                <w:left w:val="nil"/>
                <w:bottom w:val="nil"/>
                <w:right w:val="nil"/>
                <w:between w:val="nil"/>
              </w:pBdr>
              <w:spacing w:before="100" w:after="200"/>
              <w:jc w:val="left"/>
              <w:rPr>
                <w:rFonts w:ascii="Arial" w:eastAsia="Arial" w:hAnsi="Arial"/>
                <w:sz w:val="24"/>
                <w:szCs w:val="24"/>
              </w:rPr>
            </w:pPr>
            <w:r>
              <w:rPr>
                <w:rFonts w:ascii="Arial" w:eastAsia="Arial" w:hAnsi="Arial"/>
                <w:sz w:val="24"/>
                <w:szCs w:val="24"/>
              </w:rPr>
              <w:t>[6 Acid Ratio]</w:t>
            </w:r>
          </w:p>
          <w:p w:rsidR="00172EA7" w:rsidRDefault="00BE62DE">
            <w:pPr>
              <w:pBdr>
                <w:top w:val="nil"/>
                <w:left w:val="nil"/>
                <w:bottom w:val="nil"/>
                <w:right w:val="nil"/>
                <w:between w:val="nil"/>
              </w:pBdr>
              <w:spacing w:before="100" w:after="200"/>
              <w:jc w:val="left"/>
              <w:rPr>
                <w:rFonts w:ascii="Arial" w:eastAsia="Arial" w:hAnsi="Arial"/>
                <w:sz w:val="24"/>
                <w:szCs w:val="24"/>
              </w:rPr>
            </w:pPr>
            <w:r>
              <w:rPr>
                <w:rFonts w:ascii="Arial" w:eastAsia="Arial" w:hAnsi="Arial"/>
                <w:sz w:val="24"/>
                <w:szCs w:val="24"/>
              </w:rPr>
              <w:t xml:space="preserve">[7 Net Asset Value] </w:t>
            </w:r>
          </w:p>
        </w:tc>
      </w:tr>
      <w:tr w:rsidR="00172EA7">
        <w:tc>
          <w:tcPr>
            <w:tcW w:w="4073" w:type="dxa"/>
          </w:tcPr>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sz w:val="24"/>
                <w:szCs w:val="24"/>
              </w:rPr>
              <w:t>Entity 2 - GEO Group Member</w:t>
            </w:r>
          </w:p>
        </w:tc>
        <w:tc>
          <w:tcPr>
            <w:tcW w:w="4223" w:type="dxa"/>
          </w:tcPr>
          <w:p w:rsidR="00172EA7" w:rsidRDefault="00BE62DE">
            <w:pPr>
              <w:spacing w:before="100" w:after="200"/>
              <w:jc w:val="left"/>
              <w:rPr>
                <w:rFonts w:ascii="Arial" w:eastAsia="Arial" w:hAnsi="Arial"/>
                <w:sz w:val="24"/>
                <w:szCs w:val="24"/>
              </w:rPr>
            </w:pPr>
            <w:r>
              <w:rPr>
                <w:rFonts w:ascii="Arial" w:eastAsia="Arial" w:hAnsi="Arial"/>
                <w:sz w:val="24"/>
                <w:szCs w:val="24"/>
              </w:rPr>
              <w:t>[2 Operating Margin]</w:t>
            </w:r>
          </w:p>
          <w:p w:rsidR="00172EA7" w:rsidRDefault="00BE62DE">
            <w:pPr>
              <w:spacing w:before="100" w:after="200"/>
              <w:jc w:val="left"/>
              <w:rPr>
                <w:rFonts w:ascii="Arial" w:eastAsia="Arial" w:hAnsi="Arial"/>
                <w:sz w:val="24"/>
                <w:szCs w:val="24"/>
              </w:rPr>
            </w:pPr>
            <w:r>
              <w:rPr>
                <w:rFonts w:ascii="Arial" w:eastAsia="Arial" w:hAnsi="Arial"/>
                <w:sz w:val="24"/>
                <w:szCs w:val="24"/>
              </w:rPr>
              <w:t>[6 Acid Ratio]</w:t>
            </w:r>
          </w:p>
          <w:p w:rsidR="00172EA7" w:rsidRDefault="00BE62DE">
            <w:pPr>
              <w:spacing w:before="100" w:after="200"/>
              <w:jc w:val="left"/>
              <w:rPr>
                <w:rFonts w:ascii="Arial" w:eastAsia="Arial" w:hAnsi="Arial"/>
                <w:sz w:val="24"/>
                <w:szCs w:val="24"/>
              </w:rPr>
            </w:pPr>
            <w:r>
              <w:rPr>
                <w:rFonts w:ascii="Arial" w:eastAsia="Arial" w:hAnsi="Arial"/>
                <w:sz w:val="24"/>
                <w:szCs w:val="24"/>
              </w:rPr>
              <w:t xml:space="preserve">[7 Net Asset Value] </w:t>
            </w:r>
          </w:p>
        </w:tc>
      </w:tr>
      <w:tr w:rsidR="00172EA7">
        <w:tc>
          <w:tcPr>
            <w:tcW w:w="4073" w:type="dxa"/>
          </w:tcPr>
          <w:p w:rsidR="00172EA7" w:rsidRDefault="00BE62DE">
            <w:pPr>
              <w:pBdr>
                <w:top w:val="nil"/>
                <w:left w:val="nil"/>
                <w:bottom w:val="nil"/>
                <w:right w:val="nil"/>
                <w:between w:val="nil"/>
              </w:pBdr>
              <w:spacing w:before="100" w:after="200"/>
              <w:jc w:val="left"/>
              <w:rPr>
                <w:rFonts w:ascii="Arial" w:eastAsia="Arial" w:hAnsi="Arial"/>
                <w:sz w:val="24"/>
                <w:szCs w:val="24"/>
              </w:rPr>
            </w:pPr>
            <w:r>
              <w:rPr>
                <w:rFonts w:ascii="Arial" w:eastAsia="Arial" w:hAnsi="Arial"/>
                <w:sz w:val="24"/>
                <w:szCs w:val="24"/>
              </w:rPr>
              <w:t>Entity 3 - Parent Company /</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sz w:val="24"/>
                <w:szCs w:val="24"/>
              </w:rPr>
              <w:t>Ultimate Parent/ Guarantor</w:t>
            </w:r>
          </w:p>
        </w:tc>
        <w:tc>
          <w:tcPr>
            <w:tcW w:w="4223" w:type="dxa"/>
          </w:tcPr>
          <w:p w:rsidR="00172EA7" w:rsidRDefault="00BE62DE">
            <w:pPr>
              <w:spacing w:before="100" w:after="200"/>
              <w:jc w:val="left"/>
              <w:rPr>
                <w:rFonts w:ascii="Arial" w:eastAsia="Arial" w:hAnsi="Arial"/>
                <w:sz w:val="24"/>
                <w:szCs w:val="24"/>
              </w:rPr>
            </w:pPr>
            <w:r>
              <w:rPr>
                <w:rFonts w:ascii="Arial" w:eastAsia="Arial" w:hAnsi="Arial"/>
                <w:sz w:val="24"/>
                <w:szCs w:val="24"/>
              </w:rPr>
              <w:t>[2 Operating Margin]</w:t>
            </w:r>
          </w:p>
          <w:p w:rsidR="00172EA7" w:rsidRDefault="00BE62DE">
            <w:pPr>
              <w:spacing w:before="100" w:after="200"/>
              <w:jc w:val="left"/>
              <w:rPr>
                <w:rFonts w:ascii="Arial" w:eastAsia="Arial" w:hAnsi="Arial"/>
                <w:sz w:val="24"/>
                <w:szCs w:val="24"/>
              </w:rPr>
            </w:pPr>
            <w:r>
              <w:rPr>
                <w:rFonts w:ascii="Arial" w:eastAsia="Arial" w:hAnsi="Arial"/>
                <w:sz w:val="24"/>
                <w:szCs w:val="24"/>
              </w:rPr>
              <w:t>[6 Acid Ratio]</w:t>
            </w:r>
          </w:p>
          <w:p w:rsidR="00172EA7" w:rsidRDefault="00BE62DE">
            <w:pPr>
              <w:spacing w:before="100" w:after="200"/>
              <w:jc w:val="left"/>
              <w:rPr>
                <w:rFonts w:ascii="Arial" w:eastAsia="Arial" w:hAnsi="Arial"/>
                <w:sz w:val="24"/>
                <w:szCs w:val="24"/>
              </w:rPr>
            </w:pPr>
            <w:r>
              <w:rPr>
                <w:rFonts w:ascii="Arial" w:eastAsia="Arial" w:hAnsi="Arial"/>
                <w:sz w:val="24"/>
                <w:szCs w:val="24"/>
              </w:rPr>
              <w:t xml:space="preserve">[7 Net Asset Value] </w:t>
            </w:r>
          </w:p>
        </w:tc>
      </w:tr>
    </w:tbl>
    <w:p w:rsidR="00172EA7" w:rsidRDefault="00172EA7">
      <w:pPr>
        <w:pBdr>
          <w:top w:val="nil"/>
          <w:left w:val="nil"/>
          <w:bottom w:val="nil"/>
          <w:right w:val="nil"/>
          <w:between w:val="nil"/>
        </w:pBdr>
        <w:tabs>
          <w:tab w:val="left" w:pos="1134"/>
        </w:tabs>
        <w:spacing w:before="120" w:after="120"/>
        <w:ind w:left="360" w:hanging="1004"/>
        <w:jc w:val="left"/>
        <w:rPr>
          <w:rFonts w:eastAsia="Calibri" w:cs="Calibri"/>
          <w:color w:val="000000"/>
        </w:rPr>
      </w:pPr>
    </w:p>
    <w:p w:rsidR="00172EA7" w:rsidRDefault="00BE62DE">
      <w:pPr>
        <w:pStyle w:val="Heading2"/>
        <w:numPr>
          <w:ilvl w:val="0"/>
          <w:numId w:val="1"/>
        </w:numPr>
        <w:tabs>
          <w:tab w:val="left" w:pos="142"/>
        </w:tabs>
        <w:spacing w:before="120"/>
        <w:ind w:left="708"/>
        <w:jc w:val="left"/>
      </w:pPr>
      <w:bookmarkStart w:id="9" w:name="_heading=h.q3m9uuf96pkl" w:colFirst="0" w:colLast="0"/>
      <w:bookmarkEnd w:id="9"/>
      <w:r>
        <w:lastRenderedPageBreak/>
        <w:t>Termination rights</w:t>
      </w:r>
    </w:p>
    <w:p w:rsidR="00172EA7" w:rsidRDefault="00BE62DE">
      <w:pPr>
        <w:numPr>
          <w:ilvl w:val="1"/>
          <w:numId w:val="1"/>
        </w:numPr>
        <w:pBdr>
          <w:top w:val="nil"/>
          <w:left w:val="nil"/>
          <w:bottom w:val="nil"/>
          <w:right w:val="nil"/>
          <w:between w:val="nil"/>
        </w:pBdr>
        <w:tabs>
          <w:tab w:val="left" w:pos="1134"/>
        </w:tabs>
        <w:spacing w:before="120" w:after="120"/>
        <w:ind w:left="708" w:hanging="708"/>
        <w:jc w:val="left"/>
        <w:rPr>
          <w:color w:val="000000"/>
          <w:sz w:val="24"/>
          <w:szCs w:val="24"/>
        </w:rPr>
      </w:pPr>
      <w:r>
        <w:rPr>
          <w:rFonts w:ascii="Arial" w:eastAsia="Arial" w:hAnsi="Arial"/>
          <w:color w:val="000000"/>
          <w:sz w:val="24"/>
          <w:szCs w:val="24"/>
        </w:rPr>
        <w:t>The Relevant Authority shall be entitled to terminate the Contract if:</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the Supplier fails to notify the Relevant Authority of a Financial Distress Event in accordance with Paragraph 2.3.3;</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the Supplier fails to comply with the terms of the Financial Distress Remediation Plan (or</w:t>
      </w:r>
      <w:r>
        <w:rPr>
          <w:rFonts w:ascii="Arial" w:eastAsia="Arial" w:hAnsi="Arial"/>
          <w:color w:val="000000"/>
          <w:sz w:val="24"/>
          <w:szCs w:val="24"/>
        </w:rPr>
        <w:t xml:space="preserve"> any updated Financial Distress Remediation Plan) in accordance with Paragraph 4.6.3,</w:t>
      </w:r>
    </w:p>
    <w:p w:rsidR="00172EA7" w:rsidRDefault="00BE62DE">
      <w:pPr>
        <w:pBdr>
          <w:top w:val="nil"/>
          <w:left w:val="nil"/>
          <w:bottom w:val="nil"/>
          <w:right w:val="nil"/>
          <w:between w:val="nil"/>
        </w:pBdr>
        <w:tabs>
          <w:tab w:val="left" w:pos="1985"/>
        </w:tabs>
        <w:spacing w:before="120" w:after="120"/>
        <w:ind w:left="708"/>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rsidR="00172EA7" w:rsidRDefault="00BE62DE">
      <w:pPr>
        <w:pStyle w:val="Heading2"/>
        <w:numPr>
          <w:ilvl w:val="0"/>
          <w:numId w:val="1"/>
        </w:numPr>
        <w:tabs>
          <w:tab w:val="left" w:pos="142"/>
        </w:tabs>
        <w:spacing w:before="120"/>
        <w:ind w:left="708"/>
        <w:jc w:val="left"/>
      </w:pPr>
      <w:bookmarkStart w:id="10" w:name="_heading=h.hg3dzxwzdosu" w:colFirst="0" w:colLast="0"/>
      <w:bookmarkEnd w:id="10"/>
      <w:r>
        <w:t xml:space="preserve">Primacy of </w:t>
      </w:r>
      <w:r>
        <w:t>Credit Ratings</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 xml:space="preserve">Without prejudice to the Supplier’s obligations and the Relevant Authority’s rights and remedies under Paragraph 2, if, following the occurrence of a Financial Distress Event pursuant to any of Paragraphs 3.1.2 to 3.1.7, the Rating Agencies </w:t>
      </w:r>
      <w:r>
        <w:rPr>
          <w:rFonts w:ascii="Arial" w:eastAsia="Arial" w:hAnsi="Arial"/>
          <w:color w:val="000000"/>
          <w:sz w:val="24"/>
          <w:szCs w:val="24"/>
        </w:rPr>
        <w:t>review and report subsequently that the credit ratings for the FDE Group entities do not drop below the relevant Credit Rating Thresholds specified for those entities in Annex 2 to this Schedule, then:</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the Supplier shall be relieved automatically of its obligations under Paragraphs 4.3 to 4.6; and</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the Relevant Authority shall not be entitled to require the Supplier to provide financial information in accordance with Paragraph 4.3.2(b).</w:t>
      </w:r>
    </w:p>
    <w:p w:rsidR="00172EA7" w:rsidRDefault="00BE62DE">
      <w:pPr>
        <w:pStyle w:val="Heading2"/>
        <w:numPr>
          <w:ilvl w:val="0"/>
          <w:numId w:val="1"/>
        </w:numPr>
        <w:tabs>
          <w:tab w:val="left" w:pos="142"/>
        </w:tabs>
        <w:spacing w:before="120"/>
        <w:jc w:val="left"/>
      </w:pPr>
      <w:bookmarkStart w:id="11" w:name="_heading=h.8zvqnjzi3m23" w:colFirst="0" w:colLast="0"/>
      <w:bookmarkEnd w:id="11"/>
      <w:r>
        <w:t>Board confirmation</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If the Contract has been specified as a Critical Service Contract under Paragraph 1.1 of Part B of Annex 1 to Call-Off Schedule 8 (Business Continuity and Disaster Recovery) (if applicable) then, subject to Paragraph 8.4 of this Schedule, the Supplier sha</w:t>
      </w:r>
      <w:r>
        <w:rPr>
          <w:rFonts w:ascii="Arial" w:eastAsia="Arial" w:hAnsi="Arial"/>
          <w:color w:val="000000"/>
          <w:sz w:val="24"/>
          <w:szCs w:val="24"/>
        </w:rPr>
        <w:t>ll within ninety (90) days after each Accounting Reference Date or within 15 months of the previous Board Confirmation (whichever is the earlier) provide a Board Confirmation to the Relevant Authority in the form set out at Annex 4 to this Schedule, confir</w:t>
      </w:r>
      <w:r>
        <w:rPr>
          <w:rFonts w:ascii="Arial" w:eastAsia="Arial" w:hAnsi="Arial"/>
          <w:color w:val="000000"/>
          <w:sz w:val="24"/>
          <w:szCs w:val="24"/>
        </w:rPr>
        <w:t>ming that to the best of the Board’s knowledge and belief, it is not aware of and has no knowledge:</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that a Financial Distress Event has occurred since the later of the Effective Date or the previous Board Confirmation or is subsisting; or</w:t>
      </w:r>
    </w:p>
    <w:p w:rsidR="00172EA7" w:rsidRDefault="00BE62DE">
      <w:pPr>
        <w:numPr>
          <w:ilvl w:val="2"/>
          <w:numId w:val="1"/>
        </w:numPr>
        <w:pBdr>
          <w:top w:val="nil"/>
          <w:left w:val="nil"/>
          <w:bottom w:val="nil"/>
          <w:right w:val="nil"/>
          <w:between w:val="nil"/>
        </w:pBdr>
        <w:tabs>
          <w:tab w:val="left" w:pos="1985"/>
        </w:tabs>
        <w:spacing w:before="120" w:after="120"/>
        <w:ind w:left="708" w:firstLine="0"/>
        <w:rPr>
          <w:color w:val="000000"/>
        </w:rPr>
      </w:pPr>
      <w:r>
        <w:rPr>
          <w:rFonts w:ascii="Arial" w:eastAsia="Arial" w:hAnsi="Arial"/>
          <w:color w:val="000000"/>
          <w:sz w:val="24"/>
          <w:szCs w:val="24"/>
        </w:rPr>
        <w:t>of any matters wh</w:t>
      </w:r>
      <w:r>
        <w:rPr>
          <w:rFonts w:ascii="Arial" w:eastAsia="Arial" w:hAnsi="Arial"/>
          <w:color w:val="000000"/>
          <w:sz w:val="24"/>
          <w:szCs w:val="24"/>
        </w:rPr>
        <w:t>ich have occurred or are subsisting that could reasonably be expected to cause a Financial Distress Event.</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w:t>
      </w:r>
      <w:r>
        <w:rPr>
          <w:rFonts w:ascii="Arial" w:eastAsia="Arial" w:hAnsi="Arial"/>
          <w:color w:val="000000"/>
          <w:sz w:val="24"/>
          <w:szCs w:val="24"/>
        </w:rPr>
        <w:t>l relevant Supplier Staff and other persons as is reasonably necessary to understand and confirm the position.</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lastRenderedPageBreak/>
        <w:t>In respect of the first Board Confirmation to be provided under this Contract, the Supplier shall provide the Board Confirmation within 15 months</w:t>
      </w:r>
      <w:r>
        <w:rPr>
          <w:rFonts w:ascii="Arial" w:eastAsia="Arial" w:hAnsi="Arial"/>
          <w:color w:val="000000"/>
          <w:sz w:val="24"/>
          <w:szCs w:val="24"/>
        </w:rPr>
        <w:t xml:space="preserve"> of the Effective Date if earlier than the timescale for submission set out in Paragraph 8.1 of this Schedule.</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w:t>
      </w:r>
      <w:r>
        <w:rPr>
          <w:rFonts w:ascii="Arial" w:eastAsia="Arial" w:hAnsi="Arial"/>
          <w:color w:val="000000"/>
          <w:sz w:val="24"/>
          <w:szCs w:val="24"/>
        </w:rPr>
        <w:t xml:space="preserve"> Financial Distress Event or knowledge of subsisting matters which could reasonably be expected to cause a Financial Distress Event, it will be sufficient for the Supplier to submit in place of the Board Confirmation, a statement from the Board of Director</w:t>
      </w:r>
      <w:r>
        <w:rPr>
          <w:rFonts w:ascii="Arial" w:eastAsia="Arial" w:hAnsi="Arial"/>
          <w:color w:val="000000"/>
          <w:sz w:val="24"/>
          <w:szCs w:val="24"/>
        </w:rPr>
        <w:t>s to the Buyer (and where the Supplier is a Strategic Supplier, the Supplier shall send a copy of the statement to the Cabinet Office Markets and Suppliers Team) setting out full details of any Financial Distress Events that have occurred and/or the matter</w:t>
      </w:r>
      <w:r>
        <w:rPr>
          <w:rFonts w:ascii="Arial" w:eastAsia="Arial" w:hAnsi="Arial"/>
          <w:color w:val="000000"/>
          <w:sz w:val="24"/>
          <w:szCs w:val="24"/>
        </w:rPr>
        <w:t>s which could reasonably be expected to cause a Financial Distress Event.</w:t>
      </w:r>
    </w:p>
    <w:p w:rsidR="00172EA7" w:rsidRDefault="00BE62DE">
      <w:pPr>
        <w:pStyle w:val="Heading2"/>
        <w:numPr>
          <w:ilvl w:val="0"/>
          <w:numId w:val="1"/>
        </w:numPr>
        <w:tabs>
          <w:tab w:val="left" w:pos="142"/>
        </w:tabs>
        <w:spacing w:before="120"/>
        <w:ind w:left="708"/>
        <w:jc w:val="left"/>
      </w:pPr>
      <w:bookmarkStart w:id="12" w:name="_heading=h.428lihxck2qh" w:colFirst="0" w:colLast="0"/>
      <w:bookmarkEnd w:id="12"/>
      <w:r>
        <w:t>Optional Clauses</w:t>
      </w:r>
    </w:p>
    <w:p w:rsidR="00172EA7" w:rsidRDefault="00BE62DE">
      <w:pPr>
        <w:numPr>
          <w:ilvl w:val="1"/>
          <w:numId w:val="1"/>
        </w:numPr>
        <w:pBdr>
          <w:top w:val="nil"/>
          <w:left w:val="nil"/>
          <w:bottom w:val="nil"/>
          <w:right w:val="nil"/>
          <w:between w:val="nil"/>
        </w:pBdr>
        <w:tabs>
          <w:tab w:val="left" w:pos="1134"/>
        </w:tabs>
        <w:spacing w:before="120" w:after="120"/>
        <w:ind w:left="0" w:firstLine="0"/>
        <w:jc w:val="left"/>
        <w:rPr>
          <w:color w:val="000000"/>
          <w:sz w:val="24"/>
          <w:szCs w:val="24"/>
        </w:rPr>
      </w:pPr>
      <w:r>
        <w:rPr>
          <w:rFonts w:ascii="Arial" w:eastAsia="Arial" w:hAnsi="Arial"/>
          <w:color w:val="000000"/>
          <w:sz w:val="24"/>
          <w:szCs w:val="24"/>
        </w:rPr>
        <w:t xml:space="preserve">Where a Buyer’s Call-Off Contract is a Bronze Contract, if specified in the Order Form, the terms at Annex 5 shall apply to the Call-Off Contract in place of the foregoing terms of this Joint Schedule 7. </w:t>
      </w:r>
    </w:p>
    <w:p w:rsidR="00172EA7" w:rsidRDefault="00172EA7">
      <w:pPr>
        <w:pBdr>
          <w:top w:val="nil"/>
          <w:left w:val="nil"/>
          <w:bottom w:val="nil"/>
          <w:right w:val="nil"/>
          <w:between w:val="nil"/>
        </w:pBdr>
        <w:tabs>
          <w:tab w:val="left" w:pos="142"/>
        </w:tabs>
        <w:spacing w:before="120"/>
        <w:ind w:left="360" w:hanging="360"/>
        <w:rPr>
          <w:rFonts w:eastAsia="Calibri" w:cs="Calibri"/>
          <w:b/>
          <w:smallCaps/>
          <w:color w:val="000000"/>
        </w:rPr>
      </w:pPr>
    </w:p>
    <w:p w:rsidR="00172EA7" w:rsidRDefault="00BE62DE">
      <w:pPr>
        <w:pStyle w:val="Heading2"/>
        <w:spacing w:after="200" w:line="276" w:lineRule="auto"/>
        <w:rPr>
          <w:sz w:val="24"/>
          <w:szCs w:val="24"/>
        </w:rPr>
      </w:pPr>
      <w:bookmarkStart w:id="13" w:name="_heading=h.q023br801tp" w:colFirst="0" w:colLast="0"/>
      <w:bookmarkEnd w:id="13"/>
      <w:r>
        <w:br w:type="page"/>
      </w:r>
      <w:r>
        <w:rPr>
          <w:sz w:val="24"/>
          <w:szCs w:val="24"/>
        </w:rPr>
        <w:lastRenderedPageBreak/>
        <w:t>Annex 1: Rating Agencies and their standard Ratin</w:t>
      </w:r>
      <w:r>
        <w:rPr>
          <w:sz w:val="24"/>
          <w:szCs w:val="24"/>
        </w:rPr>
        <w:t>g System</w:t>
      </w:r>
    </w:p>
    <w:p w:rsidR="00172EA7" w:rsidRDefault="00BE62DE">
      <w:pPr>
        <w:keepNext/>
        <w:spacing w:before="240" w:after="120"/>
        <w:ind w:left="142"/>
        <w:jc w:val="left"/>
        <w:rPr>
          <w:rFonts w:ascii="Arial" w:eastAsia="Arial" w:hAnsi="Arial"/>
          <w:color w:val="000000"/>
          <w:sz w:val="24"/>
          <w:szCs w:val="24"/>
        </w:rPr>
      </w:pPr>
      <w:hyperlink r:id="rId9">
        <w:r>
          <w:rPr>
            <w:rFonts w:ascii="Arial" w:eastAsia="Arial" w:hAnsi="Arial"/>
            <w:sz w:val="24"/>
            <w:szCs w:val="24"/>
            <w:highlight w:val="white"/>
          </w:rPr>
          <w:t>Dun &amp; Bradstreet</w:t>
        </w:r>
      </w:hyperlink>
    </w:p>
    <w:p w:rsidR="00172EA7" w:rsidRDefault="00BE62DE">
      <w:pPr>
        <w:spacing w:after="200" w:line="276" w:lineRule="auto"/>
        <w:jc w:val="left"/>
        <w:rPr>
          <w:rFonts w:ascii="Arial" w:eastAsia="Arial" w:hAnsi="Arial"/>
          <w:sz w:val="24"/>
          <w:szCs w:val="24"/>
        </w:rPr>
      </w:pPr>
      <w:r>
        <w:br w:type="page"/>
      </w:r>
    </w:p>
    <w:p w:rsidR="00172EA7" w:rsidRDefault="00BE62DE">
      <w:pPr>
        <w:pStyle w:val="Heading2"/>
        <w:spacing w:before="100" w:after="300"/>
      </w:pPr>
      <w:bookmarkStart w:id="14" w:name="_heading=h.2bn6wsx" w:colFirst="0" w:colLast="0"/>
      <w:bookmarkEnd w:id="14"/>
      <w:r>
        <w:lastRenderedPageBreak/>
        <w:t>Annex 2</w:t>
      </w:r>
      <w:r>
        <w:rPr>
          <w:smallCaps/>
        </w:rPr>
        <w:t xml:space="preserve">: </w:t>
      </w:r>
      <w:r>
        <w:t>Credit Ratings and Credit Rating Thresholds</w:t>
      </w:r>
    </w:p>
    <w:tbl>
      <w:tblPr>
        <w:tblStyle w:val="aa"/>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172EA7">
        <w:tc>
          <w:tcPr>
            <w:tcW w:w="3080" w:type="dxa"/>
            <w:tcBorders>
              <w:top w:val="single" w:sz="4" w:space="0" w:color="000000"/>
            </w:tcBorders>
            <w:shd w:val="clear" w:color="auto" w:fill="FFFFFF"/>
          </w:tcPr>
          <w:p w:rsidR="00172EA7" w:rsidRDefault="00BE62DE">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172EA7" w:rsidRDefault="00BE62DE">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172EA7">
        <w:tc>
          <w:tcPr>
            <w:tcW w:w="3080" w:type="dxa"/>
            <w:shd w:val="clear" w:color="auto" w:fill="FFFFFF"/>
          </w:tcPr>
          <w:p w:rsidR="00172EA7" w:rsidRDefault="00BE62D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172EA7" w:rsidRDefault="00BE62D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45</w:t>
            </w:r>
          </w:p>
        </w:tc>
      </w:tr>
      <w:tr w:rsidR="00172EA7">
        <w:tc>
          <w:tcPr>
            <w:tcW w:w="3080" w:type="dxa"/>
            <w:shd w:val="clear" w:color="auto" w:fill="FFFFFF"/>
          </w:tcPr>
          <w:p w:rsidR="00172EA7" w:rsidRDefault="00BE62D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[Guarantor]</w:t>
            </w:r>
          </w:p>
        </w:tc>
        <w:tc>
          <w:tcPr>
            <w:tcW w:w="3081" w:type="dxa"/>
            <w:shd w:val="clear" w:color="auto" w:fill="FFFFFF"/>
          </w:tcPr>
          <w:p w:rsidR="00172EA7" w:rsidRDefault="00BE62D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45</w:t>
            </w:r>
          </w:p>
        </w:tc>
      </w:tr>
      <w:tr w:rsidR="00172EA7">
        <w:tc>
          <w:tcPr>
            <w:tcW w:w="3080" w:type="dxa"/>
            <w:tcBorders>
              <w:bottom w:val="single" w:sz="4" w:space="0" w:color="000000"/>
            </w:tcBorders>
            <w:shd w:val="clear" w:color="auto" w:fill="FFFFFF"/>
          </w:tcPr>
          <w:p w:rsidR="00172EA7" w:rsidRDefault="00BE62D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[Key Subcontractor]</w:t>
            </w:r>
          </w:p>
        </w:tc>
        <w:tc>
          <w:tcPr>
            <w:tcW w:w="3081" w:type="dxa"/>
            <w:tcBorders>
              <w:bottom w:val="single" w:sz="4" w:space="0" w:color="000000"/>
            </w:tcBorders>
            <w:shd w:val="clear" w:color="auto" w:fill="FFFFFF"/>
          </w:tcPr>
          <w:p w:rsidR="00172EA7" w:rsidRDefault="00BE62D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45</w:t>
            </w:r>
          </w:p>
        </w:tc>
      </w:tr>
    </w:tbl>
    <w:p w:rsidR="00172EA7" w:rsidRDefault="00172EA7">
      <w:pPr>
        <w:pBdr>
          <w:top w:val="nil"/>
          <w:left w:val="nil"/>
          <w:bottom w:val="nil"/>
          <w:right w:val="nil"/>
          <w:between w:val="nil"/>
        </w:pBdr>
        <w:spacing w:before="100" w:after="200"/>
        <w:jc w:val="left"/>
        <w:rPr>
          <w:rFonts w:ascii="Arial" w:eastAsia="Arial" w:hAnsi="Arial"/>
          <w:color w:val="000000"/>
          <w:sz w:val="24"/>
          <w:szCs w:val="24"/>
        </w:rPr>
      </w:pPr>
    </w:p>
    <w:p w:rsidR="00172EA7" w:rsidRDefault="00BE62DE">
      <w:pPr>
        <w:spacing w:after="200" w:line="276" w:lineRule="auto"/>
        <w:jc w:val="left"/>
        <w:rPr>
          <w:rFonts w:ascii="Arial" w:eastAsia="Arial" w:hAnsi="Arial"/>
          <w:sz w:val="24"/>
          <w:szCs w:val="24"/>
        </w:rPr>
      </w:pPr>
      <w:r>
        <w:br w:type="page"/>
      </w:r>
    </w:p>
    <w:p w:rsidR="00172EA7" w:rsidRDefault="00BE62DE">
      <w:pPr>
        <w:pStyle w:val="Heading2"/>
        <w:spacing w:before="100" w:after="200"/>
        <w:jc w:val="left"/>
      </w:pPr>
      <w:bookmarkStart w:id="15" w:name="_heading=h.i8lcrdl6247r" w:colFirst="0" w:colLast="0"/>
      <w:bookmarkEnd w:id="15"/>
      <w:r>
        <w:lastRenderedPageBreak/>
        <w:t>Annex 3: Calculation methodology for Financial Indicators</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rsidR="00172EA7" w:rsidRDefault="00BE62DE">
      <w:pPr>
        <w:pStyle w:val="Heading3"/>
        <w:spacing w:before="100" w:after="200"/>
        <w:jc w:val="left"/>
      </w:pPr>
      <w:bookmarkStart w:id="16" w:name="_heading=h.q6thk7eqbxfv" w:colFirst="0" w:colLast="0"/>
      <w:bookmarkEnd w:id="16"/>
      <w:r>
        <w:t>General methodology</w:t>
      </w:r>
    </w:p>
    <w:p w:rsidR="00172EA7" w:rsidRDefault="00BE62DE">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w:t>
      </w:r>
      <w:r>
        <w:rPr>
          <w:rFonts w:ascii="Arial" w:eastAsia="Arial" w:hAnsi="Arial"/>
          <w:color w:val="000000"/>
          <w:sz w:val="24"/>
          <w:szCs w:val="24"/>
        </w:rPr>
        <w:t xml:space="preserve"> would refer to a surplus or deficit rather than a profit or loss).</w:t>
      </w:r>
    </w:p>
    <w:p w:rsidR="00172EA7" w:rsidRDefault="00BE62DE">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bookmarkStart w:id="17" w:name="_heading=h.3as4poj" w:colFirst="0" w:colLast="0"/>
      <w:bookmarkEnd w:id="17"/>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rsidR="00172EA7" w:rsidRDefault="00BE62DE">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w:t>
      </w:r>
      <w:r>
        <w:rPr>
          <w:rFonts w:ascii="Arial" w:eastAsia="Arial" w:hAnsi="Arial"/>
          <w:color w:val="000000"/>
          <w:sz w:val="24"/>
          <w:szCs w:val="24"/>
        </w:rPr>
        <w:t>ominated in foreign currencies should be converted at the exchange rate in force at the relevant date for which the Financial Indicator is being calculated.</w:t>
      </w:r>
    </w:p>
    <w:p w:rsidR="00172EA7" w:rsidRDefault="00BE62DE">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w:t>
      </w:r>
      <w:r>
        <w:rPr>
          <w:rFonts w:ascii="Arial" w:eastAsia="Arial" w:hAnsi="Arial"/>
          <w:color w:val="000000"/>
          <w:sz w:val="24"/>
          <w:szCs w:val="24"/>
        </w:rPr>
        <w:t>cial statements before adjusting for non-underlying items.</w:t>
      </w:r>
    </w:p>
    <w:p w:rsidR="00172EA7" w:rsidRDefault="00BE62DE">
      <w:pPr>
        <w:pStyle w:val="Heading3"/>
        <w:spacing w:before="100" w:after="200"/>
        <w:ind w:left="720"/>
        <w:jc w:val="left"/>
      </w:pPr>
      <w:bookmarkStart w:id="18" w:name="_heading=h.sjil0k3dpmbg" w:colFirst="0" w:colLast="0"/>
      <w:bookmarkEnd w:id="18"/>
      <w:r>
        <w:t>Specific Methodology</w:t>
      </w:r>
    </w:p>
    <w:tbl>
      <w:tblPr>
        <w:tblStyle w:val="ab"/>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172EA7">
        <w:tc>
          <w:tcPr>
            <w:tcW w:w="2538" w:type="dxa"/>
            <w:shd w:val="clear" w:color="auto" w:fill="D9D9D9"/>
          </w:tcPr>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172EA7">
        <w:tc>
          <w:tcPr>
            <w:tcW w:w="2538" w:type="dxa"/>
            <w:vAlign w:val="center"/>
          </w:tcPr>
          <w:p w:rsidR="00172EA7" w:rsidRDefault="00BE62D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sz w:val="24"/>
                <w:szCs w:val="24"/>
              </w:rPr>
              <w:t>1</w:t>
            </w:r>
          </w:p>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t>Turnover/Contract Value</w:t>
            </w:r>
          </w:p>
        </w:tc>
        <w:tc>
          <w:tcPr>
            <w:tcW w:w="6478" w:type="dxa"/>
          </w:tcPr>
          <w:p w:rsidR="00172EA7" w:rsidRDefault="00BE62DE">
            <w:pPr>
              <w:pBdr>
                <w:top w:val="nil"/>
                <w:left w:val="nil"/>
                <w:bottom w:val="nil"/>
                <w:right w:val="nil"/>
                <w:between w:val="nil"/>
              </w:pBdr>
              <w:spacing w:after="0"/>
              <w:jc w:val="left"/>
              <w:rPr>
                <w:rFonts w:ascii="Arial" w:eastAsia="Arial" w:hAnsi="Arial"/>
                <w:color w:val="202124"/>
                <w:sz w:val="24"/>
                <w:szCs w:val="24"/>
                <w:highlight w:val="white"/>
              </w:rPr>
            </w:pPr>
            <w:r>
              <w:rPr>
                <w:rFonts w:ascii="Arial" w:eastAsia="Arial" w:hAnsi="Arial"/>
                <w:color w:val="202124"/>
                <w:sz w:val="24"/>
                <w:szCs w:val="24"/>
                <w:highlight w:val="white"/>
              </w:rPr>
              <w:t>Revenue should be shown on the face of the Income</w:t>
            </w:r>
          </w:p>
          <w:p w:rsidR="00172EA7" w:rsidRDefault="00BE62DE">
            <w:pPr>
              <w:pBdr>
                <w:top w:val="nil"/>
                <w:left w:val="nil"/>
                <w:bottom w:val="nil"/>
                <w:right w:val="nil"/>
                <w:between w:val="nil"/>
              </w:pBdr>
              <w:spacing w:after="0"/>
              <w:jc w:val="left"/>
              <w:rPr>
                <w:rFonts w:ascii="Arial" w:eastAsia="Arial" w:hAnsi="Arial"/>
                <w:color w:val="202124"/>
                <w:sz w:val="24"/>
                <w:szCs w:val="24"/>
                <w:highlight w:val="white"/>
              </w:rPr>
            </w:pPr>
            <w:r>
              <w:rPr>
                <w:rFonts w:ascii="Arial" w:eastAsia="Arial" w:hAnsi="Arial"/>
                <w:color w:val="202124"/>
                <w:sz w:val="24"/>
                <w:szCs w:val="24"/>
                <w:highlight w:val="white"/>
              </w:rPr>
              <w:t>Statement in a standard set of financial statements. It</w:t>
            </w:r>
          </w:p>
          <w:p w:rsidR="00172EA7" w:rsidRDefault="00BE62DE">
            <w:pPr>
              <w:pBdr>
                <w:top w:val="nil"/>
                <w:left w:val="nil"/>
                <w:bottom w:val="nil"/>
                <w:right w:val="nil"/>
                <w:between w:val="nil"/>
              </w:pBdr>
              <w:spacing w:after="0"/>
              <w:jc w:val="left"/>
              <w:rPr>
                <w:rFonts w:ascii="Arial" w:eastAsia="Arial" w:hAnsi="Arial"/>
                <w:color w:val="202124"/>
                <w:sz w:val="24"/>
                <w:szCs w:val="24"/>
                <w:highlight w:val="white"/>
              </w:rPr>
            </w:pPr>
            <w:r>
              <w:rPr>
                <w:rFonts w:ascii="Arial" w:eastAsia="Arial" w:hAnsi="Arial"/>
                <w:color w:val="202124"/>
                <w:sz w:val="24"/>
                <w:szCs w:val="24"/>
                <w:highlight w:val="white"/>
              </w:rPr>
              <w:t>should exclude the entity’s share of the revenue of joint</w:t>
            </w:r>
          </w:p>
          <w:p w:rsidR="00172EA7" w:rsidRDefault="00BE62DE">
            <w:pPr>
              <w:pBdr>
                <w:top w:val="nil"/>
                <w:left w:val="nil"/>
                <w:bottom w:val="nil"/>
                <w:right w:val="nil"/>
                <w:between w:val="nil"/>
              </w:pBdr>
              <w:spacing w:after="0"/>
              <w:jc w:val="left"/>
              <w:rPr>
                <w:rFonts w:ascii="Arial" w:eastAsia="Arial" w:hAnsi="Arial"/>
                <w:sz w:val="28"/>
                <w:szCs w:val="28"/>
                <w:highlight w:val="yellow"/>
              </w:rPr>
            </w:pPr>
            <w:r>
              <w:rPr>
                <w:rFonts w:ascii="Arial" w:eastAsia="Arial" w:hAnsi="Arial"/>
                <w:color w:val="202124"/>
                <w:sz w:val="24"/>
                <w:szCs w:val="24"/>
                <w:highlight w:val="white"/>
              </w:rPr>
              <w:t>ventures or associates.</w:t>
            </w:r>
          </w:p>
        </w:tc>
      </w:tr>
      <w:tr w:rsidR="00172EA7">
        <w:tc>
          <w:tcPr>
            <w:tcW w:w="2538" w:type="dxa"/>
            <w:vAlign w:val="center"/>
          </w:tcPr>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t>2</w:t>
            </w:r>
          </w:p>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tc>
      </w:tr>
      <w:tr w:rsidR="00172EA7">
        <w:tc>
          <w:tcPr>
            <w:tcW w:w="2538" w:type="dxa"/>
          </w:tcPr>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t>3</w:t>
            </w:r>
          </w:p>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rsidR="00172EA7" w:rsidRDefault="00172EA7">
            <w:pPr>
              <w:pBdr>
                <w:top w:val="nil"/>
                <w:left w:val="nil"/>
                <w:bottom w:val="nil"/>
                <w:right w:val="nil"/>
                <w:between w:val="nil"/>
              </w:pBdr>
              <w:spacing w:before="100" w:after="200"/>
              <w:jc w:val="left"/>
              <w:rPr>
                <w:rFonts w:ascii="Arial" w:eastAsia="Arial" w:hAnsi="Arial"/>
                <w:color w:val="000000"/>
                <w:sz w:val="24"/>
                <w:szCs w:val="24"/>
              </w:rPr>
            </w:pPr>
          </w:p>
          <w:p w:rsidR="00172EA7" w:rsidRDefault="00BE62D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172EA7" w:rsidRDefault="00BE62D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to </w:t>
            </w:r>
            <w:r>
              <w:rPr>
                <w:rFonts w:ascii="Arial" w:eastAsia="Arial" w:hAnsi="Arial"/>
                <w:color w:val="000000"/>
                <w:sz w:val="24"/>
                <w:szCs w:val="24"/>
              </w:rPr>
              <w:t>EBITDA Ratio should be shown on the face of the Balance sheet, Income statement and Statement of Cash Flows in a standard set of financial statements but will otherwise be found in the notes to the financial statements.</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w:t>
            </w:r>
            <w:r>
              <w:rPr>
                <w:rFonts w:ascii="Arial" w:eastAsia="Arial" w:hAnsi="Arial"/>
                <w:color w:val="000000"/>
                <w:sz w:val="24"/>
                <w:szCs w:val="24"/>
              </w:rPr>
              <w:t xml:space="preserve">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w:t>
            </w:r>
            <w:r>
              <w:rPr>
                <w:rFonts w:ascii="Arial" w:eastAsia="Arial" w:hAnsi="Arial"/>
                <w:color w:val="000000"/>
                <w:sz w:val="24"/>
                <w:szCs w:val="24"/>
              </w:rPr>
              <w:t>ngs as should, where disclosed, any liabilities (less any assets) in respect of any hedges designated as linked to borrowings (but not non-designated hedges). Borrowings should also include balances owed to other group members.</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w:t>
            </w:r>
            <w:r>
              <w:rPr>
                <w:rFonts w:ascii="Arial" w:eastAsia="Arial" w:hAnsi="Arial"/>
                <w:color w:val="000000"/>
                <w:sz w:val="24"/>
                <w:szCs w:val="24"/>
              </w:rPr>
              <w:t>le should be included in Net Debt despite typically being non-interest bearing.</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Financial Target Threshold should be treated as having been met. </w:t>
            </w:r>
          </w:p>
          <w:p w:rsidR="00172EA7" w:rsidRDefault="00BE62DE">
            <w:pPr>
              <w:pBdr>
                <w:top w:val="nil"/>
                <w:left w:val="nil"/>
                <w:bottom w:val="nil"/>
                <w:right w:val="nil"/>
                <w:between w:val="nil"/>
              </w:pBdr>
              <w:spacing w:before="100" w:after="200"/>
              <w:jc w:val="left"/>
              <w:rPr>
                <w:rFonts w:ascii="Arial" w:eastAsia="Arial" w:hAnsi="Arial"/>
                <w:i/>
                <w:color w:val="000000"/>
                <w:sz w:val="24"/>
                <w:szCs w:val="24"/>
              </w:rPr>
            </w:pPr>
            <w:bookmarkStart w:id="19" w:name="_heading=h.1pxezwc" w:colFirst="0" w:colLast="0"/>
            <w:bookmarkEnd w:id="19"/>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w:t>
            </w:r>
            <w:r>
              <w:rPr>
                <w:rFonts w:ascii="Arial" w:eastAsia="Arial" w:hAnsi="Arial"/>
                <w:color w:val="000000"/>
                <w:sz w:val="24"/>
                <w:szCs w:val="24"/>
              </w:rPr>
              <w:t xml:space="preserve">Financial Indicator, should include the entity’s share of the results of any joint ventures or Associates. </w:t>
            </w:r>
            <w:r>
              <w:rPr>
                <w:rFonts w:ascii="Arial" w:eastAsia="Arial" w:hAnsi="Arial"/>
                <w:i/>
                <w:color w:val="000000"/>
                <w:sz w:val="24"/>
                <w:szCs w:val="24"/>
              </w:rPr>
              <w:t xml:space="preserve">The depreciation and amortisation charges for the period may be found on the face of the Statement of Cash Flows or in a Note to the Accounts. Where </w:t>
            </w:r>
            <w:r>
              <w:rPr>
                <w:rFonts w:ascii="Arial" w:eastAsia="Arial" w:hAnsi="Arial"/>
                <w:i/>
                <w:color w:val="000000"/>
                <w:sz w:val="24"/>
                <w:szCs w:val="24"/>
              </w:rPr>
              <w:t>EBITDA is negative, the relevant Financial Target Threshold should be treated as not having been met (unless Net Debt is also negative, in which case the relevant Financial Target Threshold should be treated as having been met).</w:t>
            </w:r>
          </w:p>
        </w:tc>
      </w:tr>
      <w:tr w:rsidR="00172EA7">
        <w:tc>
          <w:tcPr>
            <w:tcW w:w="2538" w:type="dxa"/>
          </w:tcPr>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lastRenderedPageBreak/>
              <w:t>4</w:t>
            </w:r>
          </w:p>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 xml:space="preserve">Net Debt + </w:t>
            </w:r>
            <w:proofErr w:type="gramStart"/>
            <w:r>
              <w:rPr>
                <w:rFonts w:ascii="Arial" w:eastAsia="Arial" w:hAnsi="Arial"/>
                <w:b/>
                <w:color w:val="000000"/>
                <w:sz w:val="24"/>
                <w:szCs w:val="24"/>
              </w:rPr>
              <w:t>Net  Pension</w:t>
            </w:r>
            <w:proofErr w:type="gramEnd"/>
            <w:r>
              <w:rPr>
                <w:rFonts w:ascii="Arial" w:eastAsia="Arial" w:hAnsi="Arial"/>
                <w:b/>
                <w:color w:val="000000"/>
                <w:sz w:val="24"/>
                <w:szCs w:val="24"/>
              </w:rPr>
              <w:t xml:space="preserve"> Deficit to EBITDA ratio</w:t>
            </w:r>
          </w:p>
        </w:tc>
        <w:tc>
          <w:tcPr>
            <w:tcW w:w="6478" w:type="dxa"/>
          </w:tcPr>
          <w:p w:rsidR="00172EA7" w:rsidRDefault="00BE62D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172EA7" w:rsidRDefault="00BE62D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w:t>
            </w:r>
            <w:r>
              <w:rPr>
                <w:rFonts w:ascii="Arial" w:eastAsia="Arial" w:hAnsi="Arial"/>
                <w:i/>
                <w:color w:val="000000"/>
                <w:sz w:val="24"/>
                <w:szCs w:val="24"/>
              </w:rPr>
              <w:t>sets</w:t>
            </w:r>
          </w:p>
          <w:p w:rsidR="00172EA7" w:rsidRDefault="00BE62D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 Net Pension Deficit to EBITDA Ratio should be shown on the face of the Balance sheet, Income statement and Statement </w:t>
            </w:r>
            <w:r>
              <w:rPr>
                <w:rFonts w:ascii="Arial" w:eastAsia="Arial" w:hAnsi="Arial"/>
                <w:color w:val="000000"/>
                <w:sz w:val="24"/>
                <w:szCs w:val="24"/>
              </w:rPr>
              <w:t>of Cash Flows in a standard set of financial statements but will otherwise be found in the notes to the financial statements.</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be described slightly differently and should be found either on the face of the Balance She</w:t>
            </w:r>
            <w:r>
              <w:rPr>
                <w:rFonts w:ascii="Arial" w:eastAsia="Arial" w:hAnsi="Arial"/>
                <w:color w:val="000000"/>
                <w:sz w:val="24"/>
                <w:szCs w:val="24"/>
              </w:rPr>
              <w:t xml:space="preserv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borrowings as should, where disclosed, any liabilities (less any assets) in respect of any hedges des</w:t>
            </w:r>
            <w:r>
              <w:rPr>
                <w:rFonts w:ascii="Arial" w:eastAsia="Arial" w:hAnsi="Arial"/>
                <w:color w:val="000000"/>
                <w:sz w:val="24"/>
                <w:szCs w:val="24"/>
              </w:rPr>
              <w:t xml:space="preserve">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Retirement Benefit Obligations and Retirement Benefit Assets may be shown on the face of the Balance Sheet or in the notes to the financ</w:t>
            </w:r>
            <w:r>
              <w:rPr>
                <w:rFonts w:ascii="Arial" w:eastAsia="Arial" w:hAnsi="Arial"/>
                <w:color w:val="000000"/>
                <w:sz w:val="24"/>
                <w:szCs w:val="24"/>
              </w:rPr>
              <w:t xml:space="preserve">ial statements. They may also be described as pension benefits / obligations, post-employment obligations or other similar terms. </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 Net Pension Deficit’ is negative, the relevant Financial Target Threshold should be treated as having been </w:t>
            </w:r>
            <w:r>
              <w:rPr>
                <w:rFonts w:ascii="Arial" w:eastAsia="Arial" w:hAnsi="Arial"/>
                <w:color w:val="000000"/>
                <w:sz w:val="24"/>
                <w:szCs w:val="24"/>
              </w:rPr>
              <w:t>met.</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bookmarkStart w:id="20" w:name="_heading=h.49x2ik5" w:colFirst="0" w:colLast="0"/>
            <w:bookmarkEnd w:id="20"/>
            <w:r>
              <w:rPr>
                <w:rFonts w:ascii="Arial" w:eastAsia="Arial" w:hAnsi="Arial"/>
                <w:color w:val="000000"/>
                <w:sz w:val="24"/>
                <w:szCs w:val="24"/>
              </w:rPr>
              <w:t xml:space="preserve">The depreciation and amortisation charges for the period may be found on the face of the Statement of Cash Flows or in a Note to the Accounts. </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w:t>
            </w:r>
            <w:r>
              <w:rPr>
                <w:rFonts w:ascii="Arial" w:eastAsia="Arial" w:hAnsi="Arial"/>
                <w:color w:val="000000"/>
                <w:sz w:val="24"/>
                <w:szCs w:val="24"/>
              </w:rPr>
              <w:t xml:space="preserve">ss ‘Net Debt + Net Pension Deficit’ is also negative, in </w:t>
            </w:r>
            <w:r>
              <w:rPr>
                <w:rFonts w:ascii="Arial" w:eastAsia="Arial" w:hAnsi="Arial"/>
                <w:color w:val="000000"/>
                <w:sz w:val="24"/>
                <w:szCs w:val="24"/>
              </w:rPr>
              <w:lastRenderedPageBreak/>
              <w:t>which case the relevant Financial Target Threshold should be regarded as having been met).</w:t>
            </w:r>
          </w:p>
        </w:tc>
      </w:tr>
      <w:tr w:rsidR="00172EA7">
        <w:tc>
          <w:tcPr>
            <w:tcW w:w="2538" w:type="dxa"/>
            <w:vAlign w:val="center"/>
          </w:tcPr>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lastRenderedPageBreak/>
              <w:t>5</w:t>
            </w:r>
          </w:p>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rsidR="00172EA7" w:rsidRDefault="00BE62D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rsidR="00172EA7" w:rsidRDefault="00BE62D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Operating profit should be shown on the face of the Income Statement in a standard set of financial statements and, for the purposes of calculating this Financial Indicator, should include the entity’s share of the res</w:t>
            </w:r>
            <w:r>
              <w:rPr>
                <w:rFonts w:ascii="Arial" w:eastAsia="Arial" w:hAnsi="Arial"/>
                <w:color w:val="000000"/>
                <w:sz w:val="24"/>
                <w:szCs w:val="24"/>
              </w:rPr>
              <w:t>ults of any joint ventures or Associates.</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w:t>
            </w:r>
            <w:r>
              <w:rPr>
                <w:rFonts w:ascii="Arial" w:eastAsia="Arial" w:hAnsi="Arial"/>
                <w:color w:val="000000"/>
                <w:sz w:val="24"/>
                <w:szCs w:val="24"/>
              </w:rPr>
              <w:t>hould be treated as having been met.</w:t>
            </w:r>
          </w:p>
        </w:tc>
      </w:tr>
      <w:tr w:rsidR="00172EA7">
        <w:tc>
          <w:tcPr>
            <w:tcW w:w="2538" w:type="dxa"/>
            <w:vAlign w:val="center"/>
          </w:tcPr>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t>6</w:t>
            </w:r>
          </w:p>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172EA7">
        <w:tc>
          <w:tcPr>
            <w:tcW w:w="2538" w:type="dxa"/>
            <w:vAlign w:val="center"/>
          </w:tcPr>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t>7</w:t>
            </w:r>
          </w:p>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Pr>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w:t>
            </w:r>
            <w:r>
              <w:rPr>
                <w:rFonts w:ascii="Arial" w:eastAsia="Arial" w:hAnsi="Arial"/>
                <w:color w:val="000000"/>
                <w:sz w:val="24"/>
                <w:szCs w:val="24"/>
              </w:rPr>
              <w:t>here an entity has a majority interest in another entity in which there are also minority or non-controlling interests (i.e. where it has a subsidiary partially owned by outside investors), Net Assets should be taken inclusive of minority or non-controllin</w:t>
            </w:r>
            <w:r>
              <w:rPr>
                <w:rFonts w:ascii="Arial" w:eastAsia="Arial" w:hAnsi="Arial"/>
                <w:color w:val="000000"/>
                <w:sz w:val="24"/>
                <w:szCs w:val="24"/>
              </w:rPr>
              <w:t>g interests (as if the entity owned 100% of such entity).</w:t>
            </w:r>
          </w:p>
        </w:tc>
      </w:tr>
      <w:tr w:rsidR="00172EA7">
        <w:tc>
          <w:tcPr>
            <w:tcW w:w="2538" w:type="dxa"/>
            <w:vAlign w:val="center"/>
          </w:tcPr>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t>8</w:t>
            </w:r>
          </w:p>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6478" w:type="dxa"/>
          </w:tcPr>
          <w:p w:rsidR="00172EA7" w:rsidRDefault="00BE62D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rsidR="00172EA7" w:rsidRDefault="00BE62D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Group Exposure</w:t>
            </w:r>
            <w:r>
              <w:rPr>
                <w:rFonts w:ascii="Arial" w:eastAsia="Arial" w:hAnsi="Arial"/>
                <w:color w:val="000000"/>
                <w:sz w:val="24"/>
                <w:szCs w:val="24"/>
              </w:rPr>
              <w:t>:  Balances owed by (</w:t>
            </w:r>
            <w:proofErr w:type="spellStart"/>
            <w:r>
              <w:rPr>
                <w:rFonts w:ascii="Arial" w:eastAsia="Arial" w:hAnsi="Arial"/>
                <w:color w:val="000000"/>
                <w:sz w:val="24"/>
                <w:szCs w:val="24"/>
              </w:rPr>
              <w:t>ie</w:t>
            </w:r>
            <w:proofErr w:type="spellEnd"/>
            <w:r>
              <w:rPr>
                <w:rFonts w:ascii="Arial" w:eastAsia="Arial" w:hAnsi="Arial"/>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in partic</w:t>
            </w:r>
            <w:r>
              <w:rPr>
                <w:rFonts w:ascii="Arial" w:eastAsia="Arial" w:hAnsi="Arial"/>
                <w:color w:val="000000"/>
                <w:sz w:val="24"/>
                <w:szCs w:val="24"/>
              </w:rPr>
              <w:t xml:space="preserve">ular where </w:t>
            </w:r>
            <w:r>
              <w:rPr>
                <w:rFonts w:ascii="Arial" w:eastAsia="Arial" w:hAnsi="Arial"/>
                <w:color w:val="000000"/>
                <w:sz w:val="24"/>
                <w:szCs w:val="24"/>
              </w:rPr>
              <w:lastRenderedPageBreak/>
              <w:t>an entity is not a member of a group or is itself the ultimate holding company of the group.</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Contingent liabilities assumed in support of Group Undertakings are shown in the Contingent Liabilities note in a standard set of financial statements. </w:t>
            </w:r>
            <w:r>
              <w:rPr>
                <w:rFonts w:ascii="Arial" w:eastAsia="Arial" w:hAnsi="Arial"/>
                <w:color w:val="000000"/>
                <w:sz w:val="24"/>
                <w:szCs w:val="24"/>
              </w:rPr>
              <w:t xml:space="preserve">They include guarantees and security given in support of the borrowings of other group companies, often as part of group borrowing arrangements. Where the contingent liabilities are capped, the capped figure should be taken as their value. Where no cap or </w:t>
            </w:r>
            <w:r>
              <w:rPr>
                <w:rFonts w:ascii="Arial" w:eastAsia="Arial" w:hAnsi="Arial"/>
                <w:color w:val="000000"/>
                <w:sz w:val="24"/>
                <w:szCs w:val="24"/>
              </w:rPr>
              <w:t>maximum is specified, the relevant Financial Target Threshold should automatically be regarded as not having been met.</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 many cases an entity may not have assumed any contingent liabilities in support of Group Undertakings, in particular where an entity is not a member of a group or is itself the ultimate holding company of the group.</w:t>
            </w:r>
          </w:p>
          <w:p w:rsidR="00172EA7" w:rsidRDefault="00BE62D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w:t>
            </w:r>
            <w:r>
              <w:rPr>
                <w:rFonts w:ascii="Arial" w:eastAsia="Arial" w:hAnsi="Arial"/>
                <w:color w:val="000000"/>
                <w:sz w:val="24"/>
                <w:szCs w:val="24"/>
              </w:rPr>
              <w:t>urrent assets are shown on the face of the Balance Sheet</w:t>
            </w:r>
          </w:p>
        </w:tc>
      </w:tr>
    </w:tbl>
    <w:p w:rsidR="00172EA7" w:rsidRDefault="00172EA7">
      <w:pPr>
        <w:pBdr>
          <w:top w:val="nil"/>
          <w:left w:val="nil"/>
          <w:bottom w:val="nil"/>
          <w:right w:val="nil"/>
          <w:between w:val="nil"/>
        </w:pBdr>
        <w:spacing w:before="100" w:after="200"/>
        <w:jc w:val="left"/>
        <w:rPr>
          <w:rFonts w:ascii="Arial" w:eastAsia="Arial" w:hAnsi="Arial"/>
          <w:color w:val="000000"/>
          <w:sz w:val="24"/>
          <w:szCs w:val="24"/>
        </w:rPr>
      </w:pPr>
    </w:p>
    <w:p w:rsidR="00172EA7" w:rsidRDefault="00BE62DE">
      <w:pPr>
        <w:spacing w:after="200" w:line="276" w:lineRule="auto"/>
        <w:jc w:val="left"/>
        <w:rPr>
          <w:rFonts w:ascii="Arial" w:eastAsia="Arial" w:hAnsi="Arial"/>
          <w:sz w:val="24"/>
          <w:szCs w:val="24"/>
        </w:rPr>
      </w:pPr>
      <w:r>
        <w:br w:type="page"/>
      </w:r>
    </w:p>
    <w:p w:rsidR="00172EA7" w:rsidRDefault="00BE62DE">
      <w:pPr>
        <w:pStyle w:val="Heading2"/>
        <w:spacing w:before="100" w:after="300"/>
        <w:jc w:val="left"/>
      </w:pPr>
      <w:bookmarkStart w:id="21" w:name="_heading=h.2p2csry" w:colFirst="0" w:colLast="0"/>
      <w:bookmarkEnd w:id="21"/>
      <w:r>
        <w:lastRenderedPageBreak/>
        <w:t>Annex 4: Board Confirmation</w:t>
      </w:r>
    </w:p>
    <w:p w:rsidR="00172EA7" w:rsidRDefault="00172EA7">
      <w:pPr>
        <w:pBdr>
          <w:top w:val="nil"/>
          <w:left w:val="nil"/>
          <w:bottom w:val="nil"/>
          <w:right w:val="nil"/>
          <w:between w:val="nil"/>
        </w:pBdr>
        <w:spacing w:before="100" w:after="200"/>
        <w:jc w:val="left"/>
        <w:rPr>
          <w:rFonts w:ascii="Arial" w:eastAsia="Arial" w:hAnsi="Arial"/>
          <w:color w:val="000000"/>
          <w:sz w:val="24"/>
          <w:szCs w:val="24"/>
        </w:rPr>
      </w:pPr>
    </w:p>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rsidR="00172EA7" w:rsidRDefault="00BE62D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rsidR="00172EA7" w:rsidRDefault="00172EA7">
      <w:pPr>
        <w:pBdr>
          <w:top w:val="nil"/>
          <w:left w:val="nil"/>
          <w:bottom w:val="nil"/>
          <w:right w:val="nil"/>
          <w:between w:val="nil"/>
        </w:pBdr>
        <w:spacing w:before="100" w:after="200"/>
        <w:jc w:val="left"/>
        <w:rPr>
          <w:rFonts w:ascii="Arial" w:eastAsia="Arial" w:hAnsi="Arial"/>
          <w:color w:val="000000"/>
          <w:sz w:val="24"/>
          <w:szCs w:val="24"/>
        </w:rPr>
      </w:pPr>
    </w:p>
    <w:p w:rsidR="00172EA7" w:rsidRDefault="00BE62DE">
      <w:pPr>
        <w:pBdr>
          <w:top w:val="nil"/>
          <w:left w:val="nil"/>
          <w:bottom w:val="nil"/>
          <w:right w:val="nil"/>
          <w:between w:val="nil"/>
        </w:pBdr>
        <w:spacing w:before="100" w:after="200"/>
        <w:ind w:left="720"/>
        <w:jc w:val="left"/>
        <w:rPr>
          <w:rFonts w:ascii="Arial" w:eastAsia="Arial" w:hAnsi="Arial"/>
          <w:color w:val="000000"/>
          <w:sz w:val="24"/>
          <w:szCs w:val="24"/>
        </w:rPr>
      </w:pPr>
      <w:bookmarkStart w:id="22" w:name="_heading=h.147n2zr" w:colFirst="0" w:colLast="0"/>
      <w:bookmarkEnd w:id="22"/>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rsidR="00172EA7" w:rsidRDefault="00BE62DE">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 xml:space="preserve">The Board of Directors confirms, to </w:t>
      </w:r>
      <w:r>
        <w:rPr>
          <w:rFonts w:ascii="Arial" w:eastAsia="Arial" w:hAnsi="Arial"/>
          <w:color w:val="000000"/>
          <w:sz w:val="24"/>
          <w:szCs w:val="24"/>
        </w:rPr>
        <w:t>the best of its knowledge and belief, that as at the date of this Board Confirmation it is not aware of and has no knowledge:</w:t>
      </w:r>
    </w:p>
    <w:p w:rsidR="00172EA7" w:rsidRDefault="00BE62DE">
      <w:pPr>
        <w:numPr>
          <w:ilvl w:val="3"/>
          <w:numId w:val="2"/>
        </w:numPr>
        <w:pBdr>
          <w:top w:val="nil"/>
          <w:left w:val="nil"/>
          <w:bottom w:val="nil"/>
          <w:right w:val="nil"/>
          <w:between w:val="nil"/>
        </w:pBdr>
        <w:tabs>
          <w:tab w:val="left" w:pos="720"/>
          <w:tab w:val="left" w:pos="1803"/>
        </w:tabs>
        <w:spacing w:before="100" w:after="200"/>
        <w:jc w:val="left"/>
        <w:rPr>
          <w:rFonts w:ascii="Arial" w:eastAsia="Arial" w:hAnsi="Arial"/>
          <w:color w:val="000000"/>
          <w:sz w:val="24"/>
          <w:szCs w:val="24"/>
        </w:rPr>
      </w:pPr>
      <w:r>
        <w:rPr>
          <w:rFonts w:ascii="Arial" w:eastAsia="Arial" w:hAnsi="Arial"/>
          <w:color w:val="000000"/>
          <w:sz w:val="24"/>
          <w:szCs w:val="24"/>
        </w:rPr>
        <w:t>that a Financial Distress Event has occurred since the later of the previous Board Confirmation and the Effective Date or is subsi</w:t>
      </w:r>
      <w:r>
        <w:rPr>
          <w:rFonts w:ascii="Arial" w:eastAsia="Arial" w:hAnsi="Arial"/>
          <w:color w:val="000000"/>
          <w:sz w:val="24"/>
          <w:szCs w:val="24"/>
        </w:rPr>
        <w:t>sting; or</w:t>
      </w:r>
    </w:p>
    <w:p w:rsidR="00172EA7" w:rsidRDefault="00BE62DE">
      <w:pPr>
        <w:numPr>
          <w:ilvl w:val="3"/>
          <w:numId w:val="2"/>
        </w:numPr>
        <w:pBdr>
          <w:top w:val="nil"/>
          <w:left w:val="nil"/>
          <w:bottom w:val="nil"/>
          <w:right w:val="nil"/>
          <w:between w:val="nil"/>
        </w:pBdr>
        <w:tabs>
          <w:tab w:val="left" w:pos="720"/>
          <w:tab w:val="left" w:pos="1803"/>
        </w:tabs>
        <w:spacing w:before="100" w:after="200"/>
        <w:jc w:val="left"/>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rsidR="00172EA7" w:rsidRDefault="00172EA7">
      <w:pPr>
        <w:pBdr>
          <w:top w:val="nil"/>
          <w:left w:val="nil"/>
          <w:bottom w:val="nil"/>
          <w:right w:val="nil"/>
          <w:between w:val="nil"/>
        </w:pBdr>
        <w:spacing w:before="100" w:after="200"/>
        <w:jc w:val="left"/>
        <w:rPr>
          <w:rFonts w:ascii="Arial" w:eastAsia="Arial" w:hAnsi="Arial"/>
          <w:color w:val="000000"/>
          <w:sz w:val="24"/>
          <w:szCs w:val="24"/>
        </w:rPr>
      </w:pPr>
    </w:p>
    <w:p w:rsidR="00172EA7" w:rsidRDefault="00BE62DE">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rsidR="00172EA7" w:rsidRDefault="00172EA7">
      <w:pPr>
        <w:pBdr>
          <w:top w:val="nil"/>
          <w:left w:val="nil"/>
          <w:bottom w:val="nil"/>
          <w:right w:val="nil"/>
          <w:between w:val="nil"/>
        </w:pBdr>
        <w:spacing w:before="100" w:after="200"/>
        <w:jc w:val="left"/>
        <w:rPr>
          <w:rFonts w:ascii="Arial" w:eastAsia="Arial" w:hAnsi="Arial"/>
          <w:color w:val="000000"/>
          <w:sz w:val="24"/>
          <w:szCs w:val="24"/>
        </w:rPr>
      </w:pPr>
    </w:p>
    <w:p w:rsidR="00172EA7" w:rsidRDefault="00BE62DE">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rsidR="00172EA7" w:rsidRDefault="00BE62DE">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172EA7" w:rsidRDefault="00BE62DE">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172EA7" w:rsidRDefault="00172EA7">
      <w:pPr>
        <w:pBdr>
          <w:top w:val="nil"/>
          <w:left w:val="nil"/>
          <w:bottom w:val="nil"/>
          <w:right w:val="nil"/>
          <w:between w:val="nil"/>
        </w:pBdr>
        <w:spacing w:before="100" w:after="200"/>
        <w:jc w:val="left"/>
        <w:rPr>
          <w:rFonts w:ascii="Arial" w:eastAsia="Arial" w:hAnsi="Arial"/>
          <w:color w:val="000000"/>
          <w:sz w:val="24"/>
          <w:szCs w:val="24"/>
        </w:rPr>
      </w:pPr>
    </w:p>
    <w:p w:rsidR="00172EA7" w:rsidRDefault="00BE62DE">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r>
      <w:r>
        <w:rPr>
          <w:rFonts w:ascii="Arial" w:eastAsia="Arial" w:hAnsi="Arial"/>
          <w:color w:val="000000"/>
          <w:sz w:val="24"/>
          <w:szCs w:val="24"/>
        </w:rPr>
        <w:t>…………………………………</w:t>
      </w:r>
    </w:p>
    <w:p w:rsidR="00172EA7" w:rsidRDefault="00BE62DE">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172EA7" w:rsidRDefault="00BE62DE">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172EA7" w:rsidRDefault="00172EA7">
      <w:pPr>
        <w:pBdr>
          <w:top w:val="nil"/>
          <w:left w:val="nil"/>
          <w:bottom w:val="nil"/>
          <w:right w:val="nil"/>
          <w:between w:val="nil"/>
        </w:pBdr>
        <w:spacing w:before="100" w:after="200"/>
        <w:jc w:val="left"/>
        <w:rPr>
          <w:rFonts w:ascii="Arial" w:eastAsia="Arial" w:hAnsi="Arial"/>
          <w:color w:val="000000"/>
          <w:sz w:val="24"/>
          <w:szCs w:val="24"/>
        </w:rPr>
      </w:pPr>
    </w:p>
    <w:p w:rsidR="00172EA7" w:rsidRDefault="00BE62DE">
      <w:pPr>
        <w:spacing w:after="200" w:line="276" w:lineRule="auto"/>
        <w:jc w:val="left"/>
        <w:rPr>
          <w:rFonts w:ascii="Arial" w:eastAsia="Arial" w:hAnsi="Arial"/>
          <w:sz w:val="36"/>
          <w:szCs w:val="36"/>
        </w:rPr>
      </w:pPr>
      <w:r>
        <w:br w:type="page"/>
      </w:r>
    </w:p>
    <w:p w:rsidR="00172EA7" w:rsidRDefault="00BE62DE">
      <w:pPr>
        <w:pStyle w:val="Heading2"/>
        <w:spacing w:after="200" w:line="276" w:lineRule="auto"/>
        <w:jc w:val="left"/>
      </w:pPr>
      <w:bookmarkStart w:id="23" w:name="_heading=h.6gnmgwvw9ubj" w:colFirst="0" w:colLast="0"/>
      <w:bookmarkEnd w:id="23"/>
      <w:r>
        <w:lastRenderedPageBreak/>
        <w:t>ANNEX 5: OPTIONAL CLAUSES FOR BRONZE CONTRACTS</w:t>
      </w:r>
    </w:p>
    <w:p w:rsidR="00172EA7" w:rsidRDefault="00BE62DE">
      <w:pPr>
        <w:pStyle w:val="Heading2"/>
        <w:numPr>
          <w:ilvl w:val="0"/>
          <w:numId w:val="3"/>
        </w:numPr>
        <w:tabs>
          <w:tab w:val="left" w:pos="0"/>
        </w:tabs>
        <w:spacing w:before="120"/>
        <w:ind w:left="708"/>
        <w:jc w:val="left"/>
      </w:pPr>
      <w:bookmarkStart w:id="24" w:name="_heading=h.w9a43ehnlcrz" w:colFirst="0" w:colLast="0"/>
      <w:bookmarkEnd w:id="24"/>
      <w:r>
        <w:t>Definitions</w:t>
      </w:r>
    </w:p>
    <w:p w:rsidR="00172EA7" w:rsidRDefault="00BE62DE">
      <w:pPr>
        <w:keepNext/>
        <w:numPr>
          <w:ilvl w:val="1"/>
          <w:numId w:val="3"/>
        </w:numPr>
        <w:pBdr>
          <w:top w:val="nil"/>
          <w:left w:val="nil"/>
          <w:bottom w:val="nil"/>
          <w:right w:val="nil"/>
          <w:between w:val="nil"/>
        </w:pBdr>
        <w:tabs>
          <w:tab w:val="right" w:pos="425"/>
          <w:tab w:val="left" w:pos="555"/>
        </w:tabs>
        <w:spacing w:before="120" w:after="120"/>
        <w:ind w:left="0" w:firstLine="0"/>
        <w:jc w:val="left"/>
        <w:rPr>
          <w:color w:val="000000"/>
        </w:rPr>
      </w:pPr>
      <w:r>
        <w:rPr>
          <w:rFonts w:ascii="Arial" w:eastAsia="Arial" w:hAnsi="Arial"/>
          <w:sz w:val="24"/>
          <w:szCs w:val="24"/>
        </w:rPr>
        <w:t>In this Annex 5, the following words shall have the following meanings and they shall supplement Joint Schedule 1 (Definitions):</w:t>
      </w:r>
    </w:p>
    <w:tbl>
      <w:tblPr>
        <w:tblStyle w:val="ac"/>
        <w:tblW w:w="801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25"/>
        <w:gridCol w:w="5085"/>
      </w:tblGrid>
      <w:tr w:rsidR="00172EA7">
        <w:tc>
          <w:tcPr>
            <w:tcW w:w="2925" w:type="dxa"/>
          </w:tcPr>
          <w:p w:rsidR="00172EA7" w:rsidRDefault="00BE62DE">
            <w:pPr>
              <w:pBdr>
                <w:top w:val="nil"/>
                <w:left w:val="nil"/>
                <w:bottom w:val="nil"/>
                <w:right w:val="nil"/>
                <w:between w:val="nil"/>
              </w:pBdr>
              <w:spacing w:after="120"/>
              <w:ind w:left="-141" w:firstLine="6"/>
              <w:jc w:val="left"/>
              <w:rPr>
                <w:rFonts w:ascii="Arial" w:eastAsia="Arial" w:hAnsi="Arial"/>
                <w:sz w:val="24"/>
                <w:szCs w:val="24"/>
              </w:rPr>
            </w:pPr>
            <w:r>
              <w:rPr>
                <w:rFonts w:ascii="Arial" w:eastAsia="Arial" w:hAnsi="Arial"/>
                <w:sz w:val="24"/>
                <w:szCs w:val="24"/>
              </w:rPr>
              <w:t>"Credit Rating Threshold"</w:t>
            </w:r>
          </w:p>
        </w:tc>
        <w:tc>
          <w:tcPr>
            <w:tcW w:w="5085" w:type="dxa"/>
          </w:tcPr>
          <w:p w:rsidR="00172EA7" w:rsidRDefault="00BE62DE">
            <w:pPr>
              <w:pBdr>
                <w:top w:val="nil"/>
                <w:left w:val="nil"/>
                <w:bottom w:val="nil"/>
                <w:right w:val="nil"/>
                <w:between w:val="nil"/>
              </w:pBdr>
              <w:tabs>
                <w:tab w:val="left" w:pos="175"/>
              </w:tabs>
              <w:spacing w:after="120"/>
              <w:ind w:left="170"/>
              <w:jc w:val="left"/>
              <w:rPr>
                <w:rFonts w:ascii="Arial" w:eastAsia="Arial" w:hAnsi="Arial"/>
                <w:sz w:val="24"/>
                <w:szCs w:val="24"/>
              </w:rPr>
            </w:pPr>
            <w:r>
              <w:rPr>
                <w:rFonts w:ascii="Arial" w:eastAsia="Arial" w:hAnsi="Arial"/>
                <w:sz w:val="24"/>
                <w:szCs w:val="24"/>
              </w:rPr>
              <w:t>the minimum credit rating level for the Monitored Company as set out in Appendix 2;</w:t>
            </w:r>
          </w:p>
        </w:tc>
      </w:tr>
      <w:tr w:rsidR="00172EA7">
        <w:tc>
          <w:tcPr>
            <w:tcW w:w="2925" w:type="dxa"/>
          </w:tcPr>
          <w:p w:rsidR="00172EA7" w:rsidRDefault="00BE62DE">
            <w:pPr>
              <w:pBdr>
                <w:top w:val="nil"/>
                <w:left w:val="nil"/>
                <w:bottom w:val="nil"/>
                <w:right w:val="nil"/>
                <w:between w:val="nil"/>
              </w:pBdr>
              <w:spacing w:after="120"/>
              <w:ind w:left="-141" w:firstLine="6"/>
              <w:jc w:val="left"/>
              <w:rPr>
                <w:rFonts w:ascii="Arial" w:eastAsia="Arial" w:hAnsi="Arial"/>
                <w:sz w:val="24"/>
                <w:szCs w:val="24"/>
              </w:rPr>
            </w:pPr>
            <w:r>
              <w:rPr>
                <w:rFonts w:ascii="Arial" w:eastAsia="Arial" w:hAnsi="Arial"/>
                <w:sz w:val="24"/>
                <w:szCs w:val="24"/>
              </w:rPr>
              <w:t>"Financial Distress Event"</w:t>
            </w:r>
          </w:p>
        </w:tc>
        <w:tc>
          <w:tcPr>
            <w:tcW w:w="5085" w:type="dxa"/>
          </w:tcPr>
          <w:p w:rsidR="00172EA7" w:rsidRDefault="00BE62DE">
            <w:pPr>
              <w:pBdr>
                <w:top w:val="nil"/>
                <w:left w:val="nil"/>
                <w:bottom w:val="nil"/>
                <w:right w:val="nil"/>
                <w:between w:val="nil"/>
              </w:pBdr>
              <w:tabs>
                <w:tab w:val="left" w:pos="175"/>
              </w:tabs>
              <w:spacing w:after="120"/>
              <w:ind w:left="165"/>
              <w:jc w:val="left"/>
              <w:rPr>
                <w:rFonts w:ascii="Arial" w:eastAsia="Arial" w:hAnsi="Arial"/>
                <w:sz w:val="24"/>
                <w:szCs w:val="24"/>
              </w:rPr>
            </w:pPr>
            <w:r>
              <w:rPr>
                <w:rFonts w:ascii="Arial" w:eastAsia="Arial" w:hAnsi="Arial"/>
                <w:sz w:val="24"/>
                <w:szCs w:val="24"/>
              </w:rPr>
              <w:t>the occurrence or one or more of the following events:</w:t>
            </w:r>
          </w:p>
          <w:p w:rsidR="00172EA7" w:rsidRDefault="00BE62DE">
            <w:pPr>
              <w:numPr>
                <w:ilvl w:val="1"/>
                <w:numId w:val="4"/>
              </w:numPr>
              <w:pBdr>
                <w:top w:val="nil"/>
                <w:left w:val="nil"/>
                <w:bottom w:val="nil"/>
                <w:right w:val="nil"/>
                <w:between w:val="nil"/>
              </w:pBdr>
              <w:tabs>
                <w:tab w:val="left" w:pos="175"/>
              </w:tabs>
              <w:spacing w:after="120"/>
              <w:ind w:left="165" w:firstLine="0"/>
              <w:jc w:val="left"/>
              <w:rPr>
                <w:rFonts w:eastAsia="Calibri" w:cs="Calibri"/>
                <w:color w:val="000000"/>
                <w:sz w:val="24"/>
                <w:szCs w:val="24"/>
              </w:rPr>
            </w:pPr>
            <w:r>
              <w:rPr>
                <w:rFonts w:ascii="Arial" w:eastAsia="Arial" w:hAnsi="Arial"/>
                <w:sz w:val="24"/>
                <w:szCs w:val="24"/>
              </w:rPr>
              <w:t>the credit rating of the Monitored Company dropping below the applicable Credit Rating Threshold;</w:t>
            </w:r>
          </w:p>
          <w:p w:rsidR="00172EA7" w:rsidRDefault="00BE62DE">
            <w:pPr>
              <w:numPr>
                <w:ilvl w:val="1"/>
                <w:numId w:val="4"/>
              </w:numPr>
              <w:pBdr>
                <w:top w:val="nil"/>
                <w:left w:val="nil"/>
                <w:bottom w:val="nil"/>
                <w:right w:val="nil"/>
                <w:between w:val="nil"/>
              </w:pBdr>
              <w:tabs>
                <w:tab w:val="left" w:pos="175"/>
              </w:tabs>
              <w:spacing w:after="120"/>
              <w:ind w:left="165" w:firstLine="0"/>
              <w:jc w:val="left"/>
              <w:rPr>
                <w:rFonts w:eastAsia="Calibri" w:cs="Calibri"/>
                <w:color w:val="000000"/>
                <w:sz w:val="24"/>
                <w:szCs w:val="24"/>
              </w:rPr>
            </w:pPr>
            <w:r>
              <w:rPr>
                <w:rFonts w:ascii="Arial" w:eastAsia="Arial" w:hAnsi="Arial"/>
                <w:sz w:val="24"/>
                <w:szCs w:val="24"/>
              </w:rPr>
              <w:t>the Monitored Company issuing a profits warning to a stock exchange or making any other public announcement about a material deterioration in its financial po</w:t>
            </w:r>
            <w:r>
              <w:rPr>
                <w:rFonts w:ascii="Arial" w:eastAsia="Arial" w:hAnsi="Arial"/>
                <w:sz w:val="24"/>
                <w:szCs w:val="24"/>
              </w:rPr>
              <w:t>sition or prospects;</w:t>
            </w:r>
          </w:p>
          <w:p w:rsidR="00172EA7" w:rsidRDefault="00BE62DE">
            <w:pPr>
              <w:numPr>
                <w:ilvl w:val="1"/>
                <w:numId w:val="4"/>
              </w:numPr>
              <w:pBdr>
                <w:top w:val="nil"/>
                <w:left w:val="nil"/>
                <w:bottom w:val="nil"/>
                <w:right w:val="nil"/>
                <w:between w:val="nil"/>
              </w:pBdr>
              <w:tabs>
                <w:tab w:val="left" w:pos="175"/>
              </w:tabs>
              <w:spacing w:after="120"/>
              <w:ind w:left="165" w:firstLine="0"/>
              <w:jc w:val="left"/>
              <w:rPr>
                <w:rFonts w:eastAsia="Calibri" w:cs="Calibri"/>
                <w:color w:val="000000"/>
                <w:sz w:val="24"/>
                <w:szCs w:val="24"/>
              </w:rPr>
            </w:pPr>
            <w:r>
              <w:rPr>
                <w:rFonts w:ascii="Arial" w:eastAsia="Arial" w:hAnsi="Arial"/>
                <w:sz w:val="24"/>
                <w:szCs w:val="24"/>
              </w:rPr>
              <w:t xml:space="preserve">there being a public investigation into improper financial accounting and reporting, suspected fraud or any other impropriety of the Monitored Party; </w:t>
            </w:r>
          </w:p>
          <w:p w:rsidR="00172EA7" w:rsidRDefault="00BE62DE">
            <w:pPr>
              <w:numPr>
                <w:ilvl w:val="1"/>
                <w:numId w:val="4"/>
              </w:numPr>
              <w:pBdr>
                <w:top w:val="nil"/>
                <w:left w:val="nil"/>
                <w:bottom w:val="nil"/>
                <w:right w:val="nil"/>
                <w:between w:val="nil"/>
              </w:pBdr>
              <w:tabs>
                <w:tab w:val="left" w:pos="175"/>
              </w:tabs>
              <w:spacing w:after="120"/>
              <w:ind w:left="165" w:firstLine="0"/>
              <w:jc w:val="left"/>
              <w:rPr>
                <w:rFonts w:eastAsia="Calibri" w:cs="Calibri"/>
                <w:color w:val="000000"/>
                <w:sz w:val="24"/>
                <w:szCs w:val="24"/>
              </w:rPr>
            </w:pPr>
            <w:r>
              <w:rPr>
                <w:rFonts w:ascii="Arial" w:eastAsia="Arial" w:hAnsi="Arial"/>
                <w:sz w:val="24"/>
                <w:szCs w:val="24"/>
              </w:rPr>
              <w:t xml:space="preserve">Monitored Company committing a material breach of covenant to its lenders; </w:t>
            </w:r>
          </w:p>
          <w:p w:rsidR="00172EA7" w:rsidRDefault="00BE62DE">
            <w:pPr>
              <w:numPr>
                <w:ilvl w:val="1"/>
                <w:numId w:val="4"/>
              </w:numPr>
              <w:pBdr>
                <w:top w:val="nil"/>
                <w:left w:val="nil"/>
                <w:bottom w:val="nil"/>
                <w:right w:val="nil"/>
                <w:between w:val="nil"/>
              </w:pBdr>
              <w:tabs>
                <w:tab w:val="left" w:pos="175"/>
              </w:tabs>
              <w:spacing w:after="120"/>
              <w:ind w:left="165" w:firstLine="0"/>
              <w:jc w:val="left"/>
              <w:rPr>
                <w:rFonts w:eastAsia="Calibri" w:cs="Calibri"/>
                <w:color w:val="000000"/>
                <w:sz w:val="24"/>
                <w:szCs w:val="24"/>
              </w:rPr>
            </w:pPr>
            <w:r>
              <w:rPr>
                <w:rFonts w:ascii="Arial" w:eastAsia="Arial" w:hAnsi="Arial"/>
                <w:sz w:val="24"/>
                <w:szCs w:val="24"/>
              </w:rPr>
              <w:t>a Key Su</w:t>
            </w:r>
            <w:r>
              <w:rPr>
                <w:rFonts w:ascii="Arial" w:eastAsia="Arial" w:hAnsi="Arial"/>
                <w:sz w:val="24"/>
                <w:szCs w:val="24"/>
              </w:rPr>
              <w:t>bcontractor (where applicable) notifying CCS that the Supplier has not satisfied any sums properly due under a specified invoice and not subject to a genuine dispute; or</w:t>
            </w:r>
          </w:p>
          <w:p w:rsidR="00172EA7" w:rsidRDefault="00BE62DE">
            <w:pPr>
              <w:numPr>
                <w:ilvl w:val="1"/>
                <w:numId w:val="4"/>
              </w:numPr>
              <w:pBdr>
                <w:top w:val="nil"/>
                <w:left w:val="nil"/>
                <w:bottom w:val="nil"/>
                <w:right w:val="nil"/>
                <w:between w:val="nil"/>
              </w:pBdr>
              <w:tabs>
                <w:tab w:val="left" w:pos="175"/>
              </w:tabs>
              <w:spacing w:after="120"/>
              <w:ind w:hanging="544"/>
              <w:jc w:val="left"/>
              <w:rPr>
                <w:rFonts w:eastAsia="Calibri" w:cs="Calibri"/>
                <w:color w:val="000000"/>
                <w:sz w:val="24"/>
                <w:szCs w:val="24"/>
              </w:rPr>
            </w:pPr>
            <w:r>
              <w:rPr>
                <w:rFonts w:ascii="Arial" w:eastAsia="Arial" w:hAnsi="Arial"/>
                <w:sz w:val="24"/>
                <w:szCs w:val="24"/>
              </w:rPr>
              <w:t>any of the following:</w:t>
            </w:r>
          </w:p>
          <w:p w:rsidR="00172EA7" w:rsidRDefault="00BE62DE">
            <w:pPr>
              <w:numPr>
                <w:ilvl w:val="2"/>
                <w:numId w:val="4"/>
              </w:numPr>
              <w:pBdr>
                <w:top w:val="nil"/>
                <w:left w:val="nil"/>
                <w:bottom w:val="nil"/>
                <w:right w:val="nil"/>
                <w:between w:val="nil"/>
              </w:pBdr>
              <w:tabs>
                <w:tab w:val="left" w:pos="175"/>
              </w:tabs>
              <w:spacing w:after="120"/>
              <w:ind w:left="708" w:firstLine="0"/>
              <w:jc w:val="left"/>
              <w:rPr>
                <w:rFonts w:eastAsia="Calibri" w:cs="Calibri"/>
                <w:color w:val="000000"/>
                <w:sz w:val="24"/>
                <w:szCs w:val="24"/>
              </w:rPr>
            </w:pPr>
            <w:r>
              <w:rPr>
                <w:rFonts w:ascii="Arial" w:eastAsia="Arial" w:hAnsi="Arial"/>
                <w:sz w:val="24"/>
                <w:szCs w:val="24"/>
              </w:rPr>
              <w:t xml:space="preserve">commencement of any litigation against the Monitored Company with respect to financial indebtedness or obligations under a contract; </w:t>
            </w:r>
          </w:p>
          <w:p w:rsidR="00172EA7" w:rsidRDefault="00BE62DE">
            <w:pPr>
              <w:numPr>
                <w:ilvl w:val="2"/>
                <w:numId w:val="4"/>
              </w:numPr>
              <w:pBdr>
                <w:top w:val="nil"/>
                <w:left w:val="nil"/>
                <w:bottom w:val="nil"/>
                <w:right w:val="nil"/>
                <w:between w:val="nil"/>
              </w:pBdr>
              <w:tabs>
                <w:tab w:val="left" w:pos="175"/>
              </w:tabs>
              <w:spacing w:after="120"/>
              <w:ind w:left="708" w:firstLine="0"/>
              <w:jc w:val="left"/>
              <w:rPr>
                <w:rFonts w:eastAsia="Calibri" w:cs="Calibri"/>
                <w:color w:val="000000"/>
                <w:sz w:val="24"/>
                <w:szCs w:val="24"/>
              </w:rPr>
            </w:pPr>
            <w:r>
              <w:rPr>
                <w:rFonts w:ascii="Arial" w:eastAsia="Arial" w:hAnsi="Arial"/>
                <w:sz w:val="24"/>
                <w:szCs w:val="24"/>
              </w:rPr>
              <w:t>non-payment by the Monitored Company of any financial indebtedness;</w:t>
            </w:r>
          </w:p>
          <w:p w:rsidR="00172EA7" w:rsidRDefault="00BE62DE">
            <w:pPr>
              <w:numPr>
                <w:ilvl w:val="2"/>
                <w:numId w:val="4"/>
              </w:numPr>
              <w:pBdr>
                <w:top w:val="nil"/>
                <w:left w:val="nil"/>
                <w:bottom w:val="nil"/>
                <w:right w:val="nil"/>
                <w:between w:val="nil"/>
              </w:pBdr>
              <w:tabs>
                <w:tab w:val="left" w:pos="175"/>
              </w:tabs>
              <w:spacing w:after="120"/>
              <w:ind w:left="708" w:firstLine="0"/>
              <w:jc w:val="left"/>
              <w:rPr>
                <w:rFonts w:eastAsia="Calibri" w:cs="Calibri"/>
                <w:color w:val="000000"/>
                <w:sz w:val="24"/>
                <w:szCs w:val="24"/>
              </w:rPr>
            </w:pPr>
            <w:r>
              <w:rPr>
                <w:rFonts w:ascii="Arial" w:eastAsia="Arial" w:hAnsi="Arial"/>
                <w:sz w:val="24"/>
                <w:szCs w:val="24"/>
              </w:rPr>
              <w:t>any financial indebtedness of the Monitored Company be</w:t>
            </w:r>
            <w:r>
              <w:rPr>
                <w:rFonts w:ascii="Arial" w:eastAsia="Arial" w:hAnsi="Arial"/>
                <w:sz w:val="24"/>
                <w:szCs w:val="24"/>
              </w:rPr>
              <w:t>coming due as a result of an event of default; or</w:t>
            </w:r>
          </w:p>
          <w:p w:rsidR="00172EA7" w:rsidRDefault="00BE62DE">
            <w:pPr>
              <w:numPr>
                <w:ilvl w:val="2"/>
                <w:numId w:val="4"/>
              </w:numPr>
              <w:pBdr>
                <w:top w:val="nil"/>
                <w:left w:val="nil"/>
                <w:bottom w:val="nil"/>
                <w:right w:val="nil"/>
                <w:between w:val="nil"/>
              </w:pBdr>
              <w:tabs>
                <w:tab w:val="left" w:pos="175"/>
              </w:tabs>
              <w:spacing w:after="120"/>
              <w:ind w:left="708" w:firstLine="0"/>
              <w:jc w:val="left"/>
              <w:rPr>
                <w:rFonts w:eastAsia="Calibri" w:cs="Calibri"/>
                <w:color w:val="000000"/>
                <w:sz w:val="24"/>
                <w:szCs w:val="24"/>
              </w:rPr>
            </w:pPr>
            <w:r>
              <w:rPr>
                <w:rFonts w:ascii="Arial" w:eastAsia="Arial" w:hAnsi="Arial"/>
                <w:sz w:val="24"/>
                <w:szCs w:val="24"/>
              </w:rPr>
              <w:lastRenderedPageBreak/>
              <w:t>the cancellation or suspension of any financial indebtedness in respect of the Monitored Company</w:t>
            </w:r>
          </w:p>
          <w:p w:rsidR="00172EA7" w:rsidRDefault="00BE62DE">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in each case which the Relevant Authority reasonably believes (or would be likely reasonably to believe) coul</w:t>
            </w:r>
            <w:r>
              <w:rPr>
                <w:rFonts w:ascii="Arial" w:eastAsia="Arial" w:hAnsi="Arial"/>
                <w:sz w:val="24"/>
                <w:szCs w:val="24"/>
              </w:rPr>
              <w:t>d directly impact on the continued performance of any Contract and delivery of the Deliverables in accordance with any Call-Off Contract;</w:t>
            </w:r>
          </w:p>
        </w:tc>
      </w:tr>
      <w:tr w:rsidR="00172EA7">
        <w:tc>
          <w:tcPr>
            <w:tcW w:w="2925" w:type="dxa"/>
          </w:tcPr>
          <w:p w:rsidR="00172EA7" w:rsidRDefault="00BE62DE">
            <w:pPr>
              <w:pBdr>
                <w:top w:val="nil"/>
                <w:left w:val="nil"/>
                <w:bottom w:val="nil"/>
                <w:right w:val="nil"/>
                <w:between w:val="nil"/>
              </w:pBdr>
              <w:spacing w:after="120"/>
              <w:ind w:left="-141" w:firstLine="6"/>
              <w:jc w:val="left"/>
              <w:rPr>
                <w:rFonts w:ascii="Arial" w:eastAsia="Arial" w:hAnsi="Arial"/>
                <w:sz w:val="24"/>
                <w:szCs w:val="24"/>
              </w:rPr>
            </w:pPr>
            <w:r>
              <w:rPr>
                <w:rFonts w:ascii="Arial" w:eastAsia="Arial" w:hAnsi="Arial"/>
                <w:sz w:val="24"/>
                <w:szCs w:val="24"/>
              </w:rPr>
              <w:lastRenderedPageBreak/>
              <w:t>"Financial Distress Service Continuity Plan"</w:t>
            </w:r>
          </w:p>
        </w:tc>
        <w:tc>
          <w:tcPr>
            <w:tcW w:w="5085" w:type="dxa"/>
          </w:tcPr>
          <w:p w:rsidR="00172EA7" w:rsidRDefault="00BE62DE">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 plan setting out how the Supplier will ensure the continued performance and delivery of the Deliverables in accordance with [each Call-Off] Contract in the event that a Financial Distress Event occurs;</w:t>
            </w:r>
          </w:p>
        </w:tc>
      </w:tr>
      <w:tr w:rsidR="00172EA7">
        <w:tc>
          <w:tcPr>
            <w:tcW w:w="2925" w:type="dxa"/>
          </w:tcPr>
          <w:p w:rsidR="00172EA7" w:rsidRDefault="00BE62DE">
            <w:pPr>
              <w:pBdr>
                <w:top w:val="nil"/>
                <w:left w:val="nil"/>
                <w:bottom w:val="nil"/>
                <w:right w:val="nil"/>
                <w:between w:val="nil"/>
              </w:pBdr>
              <w:spacing w:after="120"/>
              <w:ind w:left="-141" w:firstLine="6"/>
              <w:jc w:val="left"/>
              <w:rPr>
                <w:rFonts w:ascii="Arial" w:eastAsia="Arial" w:hAnsi="Arial"/>
                <w:sz w:val="24"/>
                <w:szCs w:val="24"/>
              </w:rPr>
            </w:pPr>
            <w:r>
              <w:rPr>
                <w:rFonts w:ascii="Arial" w:eastAsia="Arial" w:hAnsi="Arial"/>
                <w:sz w:val="24"/>
                <w:szCs w:val="24"/>
              </w:rPr>
              <w:t>“Monitored Company”</w:t>
            </w:r>
          </w:p>
        </w:tc>
        <w:tc>
          <w:tcPr>
            <w:tcW w:w="5085" w:type="dxa"/>
          </w:tcPr>
          <w:p w:rsidR="00172EA7" w:rsidRDefault="00BE62DE">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Supplier [the Guarantor] or any</w:t>
            </w:r>
            <w:r>
              <w:rPr>
                <w:rFonts w:ascii="Arial" w:eastAsia="Arial" w:hAnsi="Arial"/>
                <w:sz w:val="24"/>
                <w:szCs w:val="24"/>
              </w:rPr>
              <w:t xml:space="preserve"> Key Subcontractor]</w:t>
            </w:r>
          </w:p>
        </w:tc>
      </w:tr>
      <w:tr w:rsidR="00172EA7">
        <w:tc>
          <w:tcPr>
            <w:tcW w:w="2925" w:type="dxa"/>
          </w:tcPr>
          <w:p w:rsidR="00172EA7" w:rsidRDefault="00BE62DE">
            <w:pPr>
              <w:pBdr>
                <w:top w:val="nil"/>
                <w:left w:val="nil"/>
                <w:bottom w:val="nil"/>
                <w:right w:val="nil"/>
                <w:between w:val="nil"/>
              </w:pBdr>
              <w:spacing w:after="120"/>
              <w:ind w:left="-141" w:firstLine="6"/>
              <w:jc w:val="left"/>
              <w:rPr>
                <w:rFonts w:ascii="Arial" w:eastAsia="Arial" w:hAnsi="Arial"/>
                <w:sz w:val="24"/>
                <w:szCs w:val="24"/>
              </w:rPr>
            </w:pPr>
            <w:r>
              <w:rPr>
                <w:rFonts w:ascii="Arial" w:eastAsia="Arial" w:hAnsi="Arial"/>
                <w:sz w:val="24"/>
                <w:szCs w:val="24"/>
              </w:rPr>
              <w:t>"Rating Agencies"</w:t>
            </w:r>
          </w:p>
        </w:tc>
        <w:tc>
          <w:tcPr>
            <w:tcW w:w="5085" w:type="dxa"/>
          </w:tcPr>
          <w:p w:rsidR="00172EA7" w:rsidRDefault="00BE62DE">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the rating agencies listed in Appendix 1.</w:t>
            </w:r>
          </w:p>
        </w:tc>
      </w:tr>
    </w:tbl>
    <w:p w:rsidR="00172EA7" w:rsidRDefault="00BE62DE">
      <w:pPr>
        <w:pStyle w:val="Heading2"/>
        <w:numPr>
          <w:ilvl w:val="0"/>
          <w:numId w:val="3"/>
        </w:numPr>
        <w:tabs>
          <w:tab w:val="left" w:pos="142"/>
        </w:tabs>
        <w:spacing w:before="120"/>
        <w:ind w:left="566"/>
        <w:jc w:val="left"/>
      </w:pPr>
      <w:bookmarkStart w:id="25" w:name="_heading=h.mwjq1kulqbf7" w:colFirst="0" w:colLast="0"/>
      <w:bookmarkEnd w:id="25"/>
      <w:r>
        <w:t>When this Schedule applies</w:t>
      </w:r>
    </w:p>
    <w:p w:rsidR="00172EA7" w:rsidRDefault="00BE62DE">
      <w:pPr>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The Parties shall comply with the provisions of this Annex 5 in relation to the assessment of the financial standing of the Monitored Companies and the consequences of a change to that financial standing.</w:t>
      </w:r>
    </w:p>
    <w:p w:rsidR="00172EA7" w:rsidRDefault="00BE62DE">
      <w:pPr>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The terms of this Annex 5 shall survive: </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sz w:val="24"/>
          <w:szCs w:val="24"/>
        </w:rPr>
        <w:t>mination or expiry of the Framework Contract); and</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t>under the Call-Off Contract until the termination or expiry of the Call-Off Contract.</w:t>
      </w:r>
    </w:p>
    <w:p w:rsidR="00172EA7" w:rsidRDefault="00BE62DE">
      <w:pPr>
        <w:keepNext/>
        <w:numPr>
          <w:ilvl w:val="0"/>
          <w:numId w:val="3"/>
        </w:numPr>
        <w:pBdr>
          <w:top w:val="nil"/>
          <w:left w:val="nil"/>
          <w:bottom w:val="nil"/>
          <w:right w:val="nil"/>
          <w:between w:val="nil"/>
        </w:pBdr>
        <w:tabs>
          <w:tab w:val="left" w:pos="142"/>
        </w:tabs>
        <w:spacing w:before="120"/>
        <w:jc w:val="left"/>
        <w:rPr>
          <w:smallCaps/>
          <w:color w:val="000000"/>
        </w:rPr>
      </w:pPr>
      <w:r>
        <w:rPr>
          <w:rFonts w:ascii="Arial" w:eastAsia="Arial" w:hAnsi="Arial"/>
          <w:sz w:val="24"/>
          <w:szCs w:val="24"/>
        </w:rPr>
        <w:t>W</w:t>
      </w:r>
      <w:r>
        <w:rPr>
          <w:rFonts w:ascii="Arial Bold" w:eastAsia="Arial Bold" w:hAnsi="Arial Bold" w:cs="Arial Bold"/>
          <w:sz w:val="24"/>
          <w:szCs w:val="24"/>
        </w:rPr>
        <w:t>hat happens when your credit rating changes</w:t>
      </w:r>
    </w:p>
    <w:p w:rsidR="00172EA7" w:rsidRDefault="00BE62DE">
      <w:pPr>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 xml:space="preserve">The Supplier warrants and represents to the Relevant Authority that as at </w:t>
      </w:r>
      <w:r>
        <w:rPr>
          <w:rFonts w:ascii="Arial" w:eastAsia="Arial" w:hAnsi="Arial"/>
          <w:sz w:val="24"/>
          <w:szCs w:val="24"/>
        </w:rPr>
        <w:t xml:space="preserve">the Start Date the </w:t>
      </w:r>
      <w:proofErr w:type="gramStart"/>
      <w:r>
        <w:rPr>
          <w:rFonts w:ascii="Arial" w:eastAsia="Arial" w:hAnsi="Arial"/>
          <w:sz w:val="24"/>
          <w:szCs w:val="24"/>
        </w:rPr>
        <w:t>long term</w:t>
      </w:r>
      <w:proofErr w:type="gramEnd"/>
      <w:r>
        <w:rPr>
          <w:rFonts w:ascii="Arial" w:eastAsia="Arial" w:hAnsi="Arial"/>
          <w:sz w:val="24"/>
          <w:szCs w:val="24"/>
        </w:rPr>
        <w:t xml:space="preserve"> credit ratings issued for the Monitored Companies by each of the Rating Agencies are as set out in Appendix 2. </w:t>
      </w:r>
    </w:p>
    <w:p w:rsidR="00172EA7" w:rsidRDefault="00BE62DE">
      <w:pPr>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The Supplier shall promptly (and in any event within five (5) Working Days) notify the Relevant Authority in writin</w:t>
      </w:r>
      <w:r>
        <w:rPr>
          <w:rFonts w:ascii="Arial" w:eastAsia="Arial" w:hAnsi="Arial"/>
          <w:sz w:val="24"/>
          <w:szCs w:val="24"/>
        </w:rPr>
        <w:t>g if there is any downgrade in the credit rating issued by any Rating Agency for a Monitored Company.</w:t>
      </w:r>
    </w:p>
    <w:p w:rsidR="00172EA7" w:rsidRDefault="00BE62DE">
      <w:pPr>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If there is any downgrade credit rating issued by any Rating Agency for the Monitored Company the Supplier shall ensure that the Monitored Company’s audit</w:t>
      </w:r>
      <w:r>
        <w:rPr>
          <w:rFonts w:ascii="Arial" w:eastAsia="Arial" w:hAnsi="Arial"/>
          <w:sz w:val="24"/>
          <w:szCs w:val="24"/>
        </w:rPr>
        <w:t xml:space="preserve">ors thereafter provide the Relevant Authority within 10 Working Days of the end of each Contract Year and within 10 Working Days of written request by the Relevant </w:t>
      </w:r>
      <w:r>
        <w:rPr>
          <w:rFonts w:ascii="Arial" w:eastAsia="Arial" w:hAnsi="Arial"/>
          <w:sz w:val="24"/>
          <w:szCs w:val="24"/>
        </w:rPr>
        <w:lastRenderedPageBreak/>
        <w:t xml:space="preserve">Authority (such requests not to exceed 4 in any Contract Year) with written calculations of </w:t>
      </w:r>
      <w:r>
        <w:rPr>
          <w:rFonts w:ascii="Arial" w:eastAsia="Arial" w:hAnsi="Arial"/>
          <w:sz w:val="24"/>
          <w:szCs w:val="24"/>
        </w:rPr>
        <w:t>the quick ratio for the Monitored Company as at the end of each Contract Year or such other date as may be requested by the Relevant Authority.  For these purposes the "quick ratio" on any date means:</w:t>
      </w:r>
    </w:p>
    <w:p w:rsidR="00172EA7" w:rsidRDefault="00BE62DE">
      <w:pPr>
        <w:ind w:firstLine="1134"/>
        <w:jc w:val="left"/>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609600" cy="315595"/>
                    </a:xfrm>
                    <a:prstGeom prst="rect">
                      <a:avLst/>
                    </a:prstGeom>
                    <a:ln/>
                  </pic:spPr>
                </pic:pic>
              </a:graphicData>
            </a:graphic>
          </wp:inline>
        </w:drawing>
      </w:r>
    </w:p>
    <w:p w:rsidR="00172EA7" w:rsidRDefault="00BE62DE">
      <w:pPr>
        <w:pBdr>
          <w:top w:val="nil"/>
          <w:left w:val="nil"/>
          <w:bottom w:val="nil"/>
          <w:right w:val="nil"/>
          <w:between w:val="nil"/>
        </w:pBdr>
        <w:tabs>
          <w:tab w:val="left" w:pos="3402"/>
        </w:tabs>
        <w:spacing w:after="220"/>
        <w:ind w:left="720"/>
        <w:jc w:val="left"/>
        <w:rPr>
          <w:rFonts w:ascii="Arial" w:eastAsia="Arial" w:hAnsi="Arial"/>
          <w:sz w:val="24"/>
          <w:szCs w:val="24"/>
        </w:rPr>
      </w:pPr>
      <w:r>
        <w:rPr>
          <w:rFonts w:ascii="Arial" w:eastAsia="Arial" w:hAnsi="Arial"/>
          <w:sz w:val="24"/>
          <w:szCs w:val="24"/>
        </w:rPr>
        <w:t>where:</w:t>
      </w:r>
    </w:p>
    <w:tbl>
      <w:tblPr>
        <w:tblStyle w:val="ad"/>
        <w:tblW w:w="831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0"/>
        <w:gridCol w:w="5790"/>
      </w:tblGrid>
      <w:tr w:rsidR="00172EA7">
        <w:tc>
          <w:tcPr>
            <w:tcW w:w="2520" w:type="dxa"/>
          </w:tcPr>
          <w:p w:rsidR="00172EA7" w:rsidRDefault="00BE62DE">
            <w:pPr>
              <w:pBdr>
                <w:top w:val="nil"/>
                <w:left w:val="nil"/>
                <w:bottom w:val="nil"/>
                <w:right w:val="nil"/>
                <w:between w:val="nil"/>
              </w:pBdr>
              <w:tabs>
                <w:tab w:val="left" w:pos="3402"/>
              </w:tabs>
              <w:spacing w:after="220"/>
              <w:ind w:left="1134"/>
              <w:jc w:val="left"/>
              <w:rPr>
                <w:rFonts w:ascii="Arial" w:eastAsia="Arial" w:hAnsi="Arial"/>
                <w:sz w:val="24"/>
                <w:szCs w:val="24"/>
              </w:rPr>
            </w:pPr>
            <w:r>
              <w:rPr>
                <w:rFonts w:ascii="Arial" w:eastAsia="Arial" w:hAnsi="Arial"/>
                <w:sz w:val="24"/>
                <w:szCs w:val="24"/>
              </w:rPr>
              <w:t>A</w:t>
            </w:r>
          </w:p>
        </w:tc>
        <w:tc>
          <w:tcPr>
            <w:tcW w:w="5790" w:type="dxa"/>
          </w:tcPr>
          <w:p w:rsidR="00172EA7" w:rsidRDefault="00BE62DE">
            <w:pPr>
              <w:pBdr>
                <w:top w:val="nil"/>
                <w:left w:val="nil"/>
                <w:bottom w:val="nil"/>
                <w:right w:val="nil"/>
                <w:between w:val="nil"/>
              </w:pBdr>
              <w:tabs>
                <w:tab w:val="left" w:pos="3402"/>
              </w:tabs>
              <w:spacing w:after="220"/>
              <w:ind w:left="1134"/>
              <w:jc w:val="left"/>
              <w:rPr>
                <w:rFonts w:ascii="Arial" w:eastAsia="Arial" w:hAnsi="Arial"/>
                <w:b/>
                <w:sz w:val="24"/>
                <w:szCs w:val="24"/>
              </w:rPr>
            </w:pPr>
            <w:r>
              <w:rPr>
                <w:rFonts w:ascii="Arial" w:eastAsia="Arial" w:hAnsi="Arial"/>
                <w:sz w:val="24"/>
                <w:szCs w:val="24"/>
              </w:rPr>
              <w:t>is the value at the relevant date of all cash in hand and at the bank of the Monitored Company];</w:t>
            </w:r>
          </w:p>
        </w:tc>
      </w:tr>
      <w:tr w:rsidR="00172EA7">
        <w:tc>
          <w:tcPr>
            <w:tcW w:w="2520" w:type="dxa"/>
          </w:tcPr>
          <w:p w:rsidR="00172EA7" w:rsidRDefault="00BE62DE">
            <w:pPr>
              <w:pBdr>
                <w:top w:val="nil"/>
                <w:left w:val="nil"/>
                <w:bottom w:val="nil"/>
                <w:right w:val="nil"/>
                <w:between w:val="nil"/>
              </w:pBdr>
              <w:tabs>
                <w:tab w:val="left" w:pos="3402"/>
              </w:tabs>
              <w:spacing w:after="220"/>
              <w:ind w:left="1134"/>
              <w:jc w:val="left"/>
              <w:rPr>
                <w:rFonts w:ascii="Arial" w:eastAsia="Arial" w:hAnsi="Arial"/>
                <w:sz w:val="24"/>
                <w:szCs w:val="24"/>
              </w:rPr>
            </w:pPr>
            <w:r>
              <w:rPr>
                <w:rFonts w:ascii="Arial" w:eastAsia="Arial" w:hAnsi="Arial"/>
                <w:sz w:val="24"/>
                <w:szCs w:val="24"/>
              </w:rPr>
              <w:t>B</w:t>
            </w:r>
          </w:p>
        </w:tc>
        <w:tc>
          <w:tcPr>
            <w:tcW w:w="5790" w:type="dxa"/>
          </w:tcPr>
          <w:p w:rsidR="00172EA7" w:rsidRDefault="00BE62DE">
            <w:pPr>
              <w:pBdr>
                <w:top w:val="nil"/>
                <w:left w:val="nil"/>
                <w:bottom w:val="nil"/>
                <w:right w:val="nil"/>
                <w:between w:val="nil"/>
              </w:pBdr>
              <w:tabs>
                <w:tab w:val="left" w:pos="3402"/>
              </w:tabs>
              <w:spacing w:after="220"/>
              <w:ind w:left="1134"/>
              <w:jc w:val="left"/>
              <w:rPr>
                <w:rFonts w:ascii="Arial" w:eastAsia="Arial" w:hAnsi="Arial"/>
                <w:sz w:val="24"/>
                <w:szCs w:val="24"/>
              </w:rPr>
            </w:pPr>
            <w:r>
              <w:rPr>
                <w:rFonts w:ascii="Arial" w:eastAsia="Arial" w:hAnsi="Arial"/>
                <w:sz w:val="24"/>
                <w:szCs w:val="24"/>
              </w:rPr>
              <w:t>is the value of all marketable securities held by the Supplier the Monitored Company determined using closing prices on the Working Day preceding the releva</w:t>
            </w:r>
            <w:r>
              <w:rPr>
                <w:rFonts w:ascii="Arial" w:eastAsia="Arial" w:hAnsi="Arial"/>
                <w:sz w:val="24"/>
                <w:szCs w:val="24"/>
              </w:rPr>
              <w:t xml:space="preserve">nt date; </w:t>
            </w:r>
          </w:p>
        </w:tc>
      </w:tr>
      <w:tr w:rsidR="00172EA7">
        <w:tc>
          <w:tcPr>
            <w:tcW w:w="2520" w:type="dxa"/>
          </w:tcPr>
          <w:p w:rsidR="00172EA7" w:rsidRDefault="00BE62DE">
            <w:pPr>
              <w:pBdr>
                <w:top w:val="nil"/>
                <w:left w:val="nil"/>
                <w:bottom w:val="nil"/>
                <w:right w:val="nil"/>
                <w:between w:val="nil"/>
              </w:pBdr>
              <w:tabs>
                <w:tab w:val="left" w:pos="3402"/>
              </w:tabs>
              <w:spacing w:after="220"/>
              <w:ind w:left="1134"/>
              <w:jc w:val="left"/>
              <w:rPr>
                <w:rFonts w:ascii="Arial" w:eastAsia="Arial" w:hAnsi="Arial"/>
                <w:sz w:val="24"/>
                <w:szCs w:val="24"/>
              </w:rPr>
            </w:pPr>
            <w:r>
              <w:rPr>
                <w:rFonts w:ascii="Arial" w:eastAsia="Arial" w:hAnsi="Arial"/>
                <w:sz w:val="24"/>
                <w:szCs w:val="24"/>
              </w:rPr>
              <w:t>C</w:t>
            </w:r>
          </w:p>
        </w:tc>
        <w:tc>
          <w:tcPr>
            <w:tcW w:w="5790" w:type="dxa"/>
          </w:tcPr>
          <w:p w:rsidR="00172EA7" w:rsidRDefault="00BE62DE">
            <w:pPr>
              <w:pBdr>
                <w:top w:val="nil"/>
                <w:left w:val="nil"/>
                <w:bottom w:val="nil"/>
                <w:right w:val="nil"/>
                <w:between w:val="nil"/>
              </w:pBdr>
              <w:tabs>
                <w:tab w:val="left" w:pos="3402"/>
              </w:tabs>
              <w:spacing w:after="220"/>
              <w:ind w:left="1134"/>
              <w:jc w:val="left"/>
              <w:rPr>
                <w:rFonts w:ascii="Arial" w:eastAsia="Arial" w:hAnsi="Arial"/>
                <w:sz w:val="24"/>
                <w:szCs w:val="24"/>
              </w:rPr>
            </w:pPr>
            <w:r>
              <w:rPr>
                <w:rFonts w:ascii="Arial" w:eastAsia="Arial" w:hAnsi="Arial"/>
                <w:sz w:val="24"/>
                <w:szCs w:val="24"/>
              </w:rPr>
              <w:t>is the value at the relevant date of all account receivables of the Monitored]; and</w:t>
            </w:r>
          </w:p>
        </w:tc>
      </w:tr>
      <w:tr w:rsidR="00172EA7">
        <w:tc>
          <w:tcPr>
            <w:tcW w:w="2520" w:type="dxa"/>
          </w:tcPr>
          <w:p w:rsidR="00172EA7" w:rsidRDefault="00BE62DE">
            <w:pPr>
              <w:pBdr>
                <w:top w:val="nil"/>
                <w:left w:val="nil"/>
                <w:bottom w:val="nil"/>
                <w:right w:val="nil"/>
                <w:between w:val="nil"/>
              </w:pBdr>
              <w:tabs>
                <w:tab w:val="left" w:pos="3402"/>
              </w:tabs>
              <w:spacing w:after="220"/>
              <w:ind w:left="1134"/>
              <w:jc w:val="left"/>
              <w:rPr>
                <w:rFonts w:ascii="Arial" w:eastAsia="Arial" w:hAnsi="Arial"/>
                <w:sz w:val="24"/>
                <w:szCs w:val="24"/>
              </w:rPr>
            </w:pPr>
            <w:r>
              <w:rPr>
                <w:rFonts w:ascii="Arial" w:eastAsia="Arial" w:hAnsi="Arial"/>
                <w:sz w:val="24"/>
                <w:szCs w:val="24"/>
              </w:rPr>
              <w:t>D</w:t>
            </w:r>
          </w:p>
        </w:tc>
        <w:tc>
          <w:tcPr>
            <w:tcW w:w="5790" w:type="dxa"/>
          </w:tcPr>
          <w:p w:rsidR="00172EA7" w:rsidRDefault="00BE62DE">
            <w:pPr>
              <w:pBdr>
                <w:top w:val="nil"/>
                <w:left w:val="nil"/>
                <w:bottom w:val="nil"/>
                <w:right w:val="nil"/>
                <w:between w:val="nil"/>
              </w:pBdr>
              <w:tabs>
                <w:tab w:val="left" w:pos="3402"/>
              </w:tabs>
              <w:spacing w:after="220"/>
              <w:ind w:left="1134"/>
              <w:jc w:val="left"/>
              <w:rPr>
                <w:rFonts w:ascii="Arial" w:eastAsia="Arial" w:hAnsi="Arial"/>
                <w:sz w:val="24"/>
                <w:szCs w:val="24"/>
              </w:rPr>
            </w:pPr>
            <w:r>
              <w:rPr>
                <w:rFonts w:ascii="Arial" w:eastAsia="Arial" w:hAnsi="Arial"/>
                <w:sz w:val="24"/>
                <w:szCs w:val="24"/>
              </w:rPr>
              <w:t xml:space="preserve">is the value at the relevant date of the current liabilities of the Monitored </w:t>
            </w:r>
            <w:proofErr w:type="gramStart"/>
            <w:r>
              <w:rPr>
                <w:rFonts w:ascii="Arial" w:eastAsia="Arial" w:hAnsi="Arial"/>
                <w:sz w:val="24"/>
                <w:szCs w:val="24"/>
              </w:rPr>
              <w:t>Company].</w:t>
            </w:r>
            <w:proofErr w:type="gramEnd"/>
          </w:p>
        </w:tc>
      </w:tr>
    </w:tbl>
    <w:p w:rsidR="00172EA7" w:rsidRDefault="00BE62DE">
      <w:pPr>
        <w:keepNext/>
        <w:numPr>
          <w:ilvl w:val="1"/>
          <w:numId w:val="3"/>
        </w:numPr>
        <w:pBdr>
          <w:top w:val="nil"/>
          <w:left w:val="nil"/>
          <w:bottom w:val="nil"/>
          <w:right w:val="nil"/>
          <w:between w:val="nil"/>
        </w:pBdr>
        <w:tabs>
          <w:tab w:val="left" w:pos="1134"/>
        </w:tabs>
        <w:spacing w:before="120" w:after="120"/>
        <w:ind w:left="566" w:hanging="566"/>
        <w:jc w:val="left"/>
        <w:rPr>
          <w:color w:val="000000"/>
        </w:rPr>
      </w:pPr>
      <w:r>
        <w:rPr>
          <w:rFonts w:ascii="Arial" w:eastAsia="Arial" w:hAnsi="Arial"/>
          <w:sz w:val="24"/>
          <w:szCs w:val="24"/>
        </w:rPr>
        <w:t xml:space="preserve">The Supplier shall: </w:t>
      </w:r>
    </w:p>
    <w:p w:rsidR="00172EA7" w:rsidRDefault="00BE62DE">
      <w:pPr>
        <w:numPr>
          <w:ilvl w:val="2"/>
          <w:numId w:val="3"/>
        </w:numPr>
        <w:pBdr>
          <w:top w:val="nil"/>
          <w:left w:val="nil"/>
          <w:bottom w:val="nil"/>
          <w:right w:val="nil"/>
          <w:between w:val="nil"/>
        </w:pBdr>
        <w:tabs>
          <w:tab w:val="left" w:pos="1985"/>
        </w:tabs>
        <w:spacing w:before="120" w:after="120"/>
        <w:ind w:left="566" w:firstLine="0"/>
        <w:jc w:val="left"/>
        <w:rPr>
          <w:color w:val="000000"/>
        </w:rPr>
      </w:pPr>
      <w:r>
        <w:rPr>
          <w:rFonts w:ascii="Arial" w:eastAsia="Arial" w:hAnsi="Arial"/>
          <w:sz w:val="24"/>
          <w:szCs w:val="24"/>
        </w:rPr>
        <w:t xml:space="preserve">regularly monitor the credit ratings of each Monitored Company with the Rating Agencies; and </w:t>
      </w:r>
    </w:p>
    <w:p w:rsidR="00172EA7" w:rsidRDefault="00BE62DE">
      <w:pPr>
        <w:numPr>
          <w:ilvl w:val="2"/>
          <w:numId w:val="3"/>
        </w:numPr>
        <w:pBdr>
          <w:top w:val="nil"/>
          <w:left w:val="nil"/>
          <w:bottom w:val="nil"/>
          <w:right w:val="nil"/>
          <w:between w:val="nil"/>
        </w:pBdr>
        <w:tabs>
          <w:tab w:val="left" w:pos="1985"/>
        </w:tabs>
        <w:spacing w:before="120" w:after="120"/>
        <w:ind w:left="566" w:firstLine="0"/>
        <w:jc w:val="left"/>
        <w:rPr>
          <w:color w:val="000000"/>
        </w:rPr>
      </w:pPr>
      <w:r>
        <w:rPr>
          <w:rFonts w:ascii="Arial" w:eastAsia="Arial" w:hAnsi="Arial"/>
          <w:sz w:val="24"/>
          <w:szCs w:val="24"/>
        </w:rPr>
        <w:t>promptly notify (or shall procure that its auditors promptly notify) the Relevant Authority in writing following the occurrence of a Financial Distress Event or a</w:t>
      </w:r>
      <w:r>
        <w:rPr>
          <w:rFonts w:ascii="Arial" w:eastAsia="Arial" w:hAnsi="Arial"/>
          <w:sz w:val="24"/>
          <w:szCs w:val="24"/>
        </w:rPr>
        <w:t xml:space="preserve">ny fact, circumstance or matter which could cause a Financial Distress Event </w:t>
      </w:r>
      <w:proofErr w:type="gramStart"/>
      <w:r>
        <w:rPr>
          <w:rFonts w:ascii="Arial" w:eastAsia="Arial" w:hAnsi="Arial"/>
          <w:sz w:val="24"/>
          <w:szCs w:val="24"/>
        </w:rPr>
        <w:t>and in any event</w:t>
      </w:r>
      <w:proofErr w:type="gramEnd"/>
      <w:r>
        <w:rPr>
          <w:rFonts w:ascii="Arial" w:eastAsia="Arial" w:hAnsi="Arial"/>
          <w:sz w:val="24"/>
          <w:szCs w:val="24"/>
        </w:rPr>
        <w:t>, ensure that such notification is made within 10 Working Days of the date on which the Supplier first becomes aware of the Financial Distress Event or the fact, c</w:t>
      </w:r>
      <w:r>
        <w:rPr>
          <w:rFonts w:ascii="Arial" w:eastAsia="Arial" w:hAnsi="Arial"/>
          <w:sz w:val="24"/>
          <w:szCs w:val="24"/>
        </w:rPr>
        <w:t>ircumstance or matter which could cause a Financial Distress Event.</w:t>
      </w:r>
    </w:p>
    <w:p w:rsidR="00172EA7" w:rsidRDefault="00BE62DE">
      <w:pPr>
        <w:numPr>
          <w:ilvl w:val="1"/>
          <w:numId w:val="3"/>
        </w:numPr>
        <w:pBdr>
          <w:top w:val="nil"/>
          <w:left w:val="nil"/>
          <w:bottom w:val="nil"/>
          <w:right w:val="nil"/>
          <w:between w:val="nil"/>
        </w:pBdr>
        <w:tabs>
          <w:tab w:val="left" w:pos="1134"/>
        </w:tabs>
        <w:spacing w:before="120" w:after="120"/>
        <w:ind w:hanging="360"/>
        <w:jc w:val="left"/>
        <w:rPr>
          <w:color w:val="000000"/>
        </w:rPr>
      </w:pPr>
      <w:r>
        <w:rPr>
          <w:rFonts w:ascii="Arial" w:eastAsia="Arial" w:hAnsi="Arial"/>
          <w:sz w:val="24"/>
          <w:szCs w:val="24"/>
        </w:rPr>
        <w:t>For the purposes of determining whether a Financial Distress Event has occurred the credit rating of the Monitored Company shall be deemed to have dropped below the applicable Credit Ratin</w:t>
      </w:r>
      <w:r>
        <w:rPr>
          <w:rFonts w:ascii="Arial" w:eastAsia="Arial" w:hAnsi="Arial"/>
          <w:sz w:val="24"/>
          <w:szCs w:val="24"/>
        </w:rPr>
        <w:t>g Threshold if any of the Rating Agencies have rated the Monitored Company at or below the applicable Credit Rating Threshold.</w:t>
      </w:r>
    </w:p>
    <w:p w:rsidR="00172EA7" w:rsidRDefault="00BE62DE">
      <w:pPr>
        <w:keepNext/>
        <w:numPr>
          <w:ilvl w:val="0"/>
          <w:numId w:val="3"/>
        </w:numPr>
        <w:pBdr>
          <w:top w:val="nil"/>
          <w:left w:val="nil"/>
          <w:bottom w:val="nil"/>
          <w:right w:val="nil"/>
          <w:between w:val="nil"/>
        </w:pBdr>
        <w:tabs>
          <w:tab w:val="left" w:pos="142"/>
        </w:tabs>
        <w:spacing w:before="120"/>
        <w:jc w:val="left"/>
        <w:rPr>
          <w:smallCaps/>
          <w:color w:val="000000"/>
        </w:rPr>
      </w:pPr>
      <w:r>
        <w:rPr>
          <w:rFonts w:ascii="Arial Bold" w:eastAsia="Arial Bold" w:hAnsi="Arial Bold" w:cs="Arial Bold"/>
          <w:sz w:val="24"/>
          <w:szCs w:val="24"/>
        </w:rPr>
        <w:t>What happens if there is a financial distress event</w:t>
      </w:r>
    </w:p>
    <w:p w:rsidR="00172EA7" w:rsidRDefault="00BE62DE">
      <w:pPr>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 xml:space="preserve">In the event of a Financial Distress Event then, immediately upon notification of the Financial Distress Event (or if the Relevant Authority becomes </w:t>
      </w:r>
      <w:r>
        <w:rPr>
          <w:rFonts w:ascii="Arial" w:eastAsia="Arial" w:hAnsi="Arial"/>
          <w:sz w:val="24"/>
          <w:szCs w:val="24"/>
        </w:rPr>
        <w:lastRenderedPageBreak/>
        <w:t>aware of the Financial Distress Event without notification and brings the event to the attention of the Sup</w:t>
      </w:r>
      <w:r>
        <w:rPr>
          <w:rFonts w:ascii="Arial" w:eastAsia="Arial" w:hAnsi="Arial"/>
          <w:sz w:val="24"/>
          <w:szCs w:val="24"/>
        </w:rPr>
        <w:t>plier), the Supplier shall have the obligations and the Relevant Authority shall have the rights and remedies as set out in Paragraphs 4.3 to 4.6 of this Annex 5.</w:t>
      </w:r>
    </w:p>
    <w:p w:rsidR="00172EA7" w:rsidRDefault="00BE62DE">
      <w:pPr>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[In the event that a Financial Distress Event arises due to a Key Subcontractor notifying the</w:t>
      </w:r>
      <w:r>
        <w:rPr>
          <w:rFonts w:ascii="Arial" w:eastAsia="Arial" w:hAnsi="Arial"/>
          <w:sz w:val="24"/>
          <w:szCs w:val="24"/>
        </w:rPr>
        <w:t xml:space="preserve"> Relevant Authority that the Supplier has not satisfied any sums properly due under a specified invoice and not subject to a genuine dispute then, the Relevant Authority shall not exercise any of its rights or remedies under Paragraph 4.3 without first giv</w:t>
      </w:r>
      <w:r>
        <w:rPr>
          <w:rFonts w:ascii="Arial" w:eastAsia="Arial" w:hAnsi="Arial"/>
          <w:sz w:val="24"/>
          <w:szCs w:val="24"/>
        </w:rPr>
        <w:t>ing the Supplier ten (10) Working Days to:</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t xml:space="preserve">rectify such late or non-payment; or </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t>demonstrate to the Relevant Authority's reasonable satisfaction that there is a valid reason for late or non-payment.]</w:t>
      </w:r>
    </w:p>
    <w:p w:rsidR="00172EA7" w:rsidRDefault="00BE62DE">
      <w:pPr>
        <w:keepNext/>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The Supplier shall and shall procure that the other Monitored Companies shall:</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t>at the request of the Relevant Authority meet the Relevant Authority as soon as reasonably practicable (and in any event within three (3) Working Days of the initial notificatio</w:t>
      </w:r>
      <w:r>
        <w:rPr>
          <w:rFonts w:ascii="Arial" w:eastAsia="Arial" w:hAnsi="Arial"/>
          <w:sz w:val="24"/>
          <w:szCs w:val="24"/>
        </w:rPr>
        <w:t>n (or awareness) of the Financial Distress Event) to review the effect of the Financial Distress Event on the continued performance of each Contract and delivery of the Deliverables in accordance each Call-Off Contract; and</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t>where the Relevant Authority rea</w:t>
      </w:r>
      <w:r>
        <w:rPr>
          <w:rFonts w:ascii="Arial" w:eastAsia="Arial" w:hAnsi="Arial"/>
          <w:sz w:val="24"/>
          <w:szCs w:val="24"/>
        </w:rPr>
        <w:t>sonably believes (</w:t>
      </w:r>
      <w:proofErr w:type="gramStart"/>
      <w:r>
        <w:rPr>
          <w:rFonts w:ascii="Arial" w:eastAsia="Arial" w:hAnsi="Arial"/>
          <w:sz w:val="24"/>
          <w:szCs w:val="24"/>
        </w:rPr>
        <w:t>taking into account</w:t>
      </w:r>
      <w:proofErr w:type="gramEnd"/>
      <w:r>
        <w:rPr>
          <w:rFonts w:ascii="Arial" w:eastAsia="Arial" w:hAnsi="Arial"/>
          <w:sz w:val="24"/>
          <w:szCs w:val="24"/>
        </w:rPr>
        <w:t xml:space="preserve"> the discussions and any representations made under Paragraph 4.3.1) that the Financial Distress Event could impact on the continued performance of each Contract and delivery of the Deliverables in accordance with each </w:t>
      </w:r>
      <w:r>
        <w:rPr>
          <w:rFonts w:ascii="Arial" w:eastAsia="Arial" w:hAnsi="Arial"/>
          <w:sz w:val="24"/>
          <w:szCs w:val="24"/>
        </w:rPr>
        <w:t xml:space="preserve">Call-Off Contract: </w:t>
      </w:r>
    </w:p>
    <w:p w:rsidR="00172EA7" w:rsidRDefault="00BE62DE">
      <w:pPr>
        <w:numPr>
          <w:ilvl w:val="3"/>
          <w:numId w:val="3"/>
        </w:numPr>
        <w:pBdr>
          <w:top w:val="nil"/>
          <w:left w:val="nil"/>
          <w:bottom w:val="nil"/>
          <w:right w:val="nil"/>
          <w:between w:val="nil"/>
        </w:pBdr>
        <w:tabs>
          <w:tab w:val="left" w:pos="1985"/>
        </w:tabs>
        <w:spacing w:before="120" w:after="120"/>
        <w:jc w:val="left"/>
        <w:rPr>
          <w:color w:val="000000"/>
          <w:sz w:val="24"/>
          <w:szCs w:val="24"/>
        </w:rPr>
      </w:pPr>
      <w:r>
        <w:rPr>
          <w:rFonts w:ascii="Arial" w:eastAsia="Arial" w:hAnsi="Arial"/>
          <w:sz w:val="24"/>
          <w:szCs w:val="24"/>
        </w:rPr>
        <w:t>submit to the Relevant Authority for its Approval, a draft Financial Distress Service Continuity Plan as soon as reasonably practicable (and in any event, within ten (10) Working Days of the initial notification (or awareness) of the Fi</w:t>
      </w:r>
      <w:r>
        <w:rPr>
          <w:rFonts w:ascii="Arial" w:eastAsia="Arial" w:hAnsi="Arial"/>
          <w:sz w:val="24"/>
          <w:szCs w:val="24"/>
        </w:rPr>
        <w:t>nancial Distress Event); and</w:t>
      </w:r>
    </w:p>
    <w:p w:rsidR="00172EA7" w:rsidRDefault="00BE62DE">
      <w:pPr>
        <w:numPr>
          <w:ilvl w:val="3"/>
          <w:numId w:val="3"/>
        </w:numPr>
        <w:pBdr>
          <w:top w:val="nil"/>
          <w:left w:val="nil"/>
          <w:bottom w:val="nil"/>
          <w:right w:val="nil"/>
          <w:between w:val="nil"/>
        </w:pBdr>
        <w:tabs>
          <w:tab w:val="left" w:pos="1985"/>
        </w:tabs>
        <w:spacing w:before="120" w:after="120"/>
        <w:jc w:val="left"/>
        <w:rPr>
          <w:color w:val="000000"/>
          <w:sz w:val="24"/>
          <w:szCs w:val="24"/>
        </w:rPr>
      </w:pPr>
      <w:r>
        <w:rPr>
          <w:rFonts w:ascii="Arial" w:eastAsia="Arial" w:hAnsi="Arial"/>
          <w:sz w:val="24"/>
          <w:szCs w:val="24"/>
        </w:rPr>
        <w:t>provide such financial information relating to the Monitored Company as the Relevant Authority may reasonably require.</w:t>
      </w:r>
    </w:p>
    <w:p w:rsidR="00172EA7" w:rsidRDefault="00BE62DE">
      <w:pPr>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w:t>
      </w:r>
      <w:r>
        <w:rPr>
          <w:rFonts w:ascii="Arial" w:eastAsia="Arial" w:hAnsi="Arial"/>
          <w:sz w:val="24"/>
          <w:szCs w:val="24"/>
        </w:rPr>
        <w:t>nancial Distress Service Continuity Plan, which shall be resubmitted to the Relevant Authority within five (5) Working Days of the rejection of the first or subsequent (as the case may be) drafts. This process shall be repeated until the Financial Distress</w:t>
      </w:r>
      <w:r>
        <w:rPr>
          <w:rFonts w:ascii="Arial" w:eastAsia="Arial" w:hAnsi="Arial"/>
          <w:sz w:val="24"/>
          <w:szCs w:val="24"/>
        </w:rPr>
        <w:t xml:space="preserve"> Service Continuity Plan is Approved by the Relevant Authority or referred to the Dispute Resolution Procedure.</w:t>
      </w:r>
    </w:p>
    <w:p w:rsidR="00172EA7" w:rsidRDefault="00BE62DE">
      <w:pPr>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If the Relevant Authority considers that the draft Financial Distress Service Continuity Plan is insufficiently detailed to be properly evaluate</w:t>
      </w:r>
      <w:r>
        <w:rPr>
          <w:rFonts w:ascii="Arial" w:eastAsia="Arial" w:hAnsi="Arial"/>
          <w:sz w:val="24"/>
          <w:szCs w:val="24"/>
        </w:rPr>
        <w:t>d, will take too long to complete or will not remedy the relevant Financial Distress Event, then it may either agree a further time period for the development and agreement of the Financial Distress Service Continuity Plan or escalate any issues with the d</w:t>
      </w:r>
      <w:r>
        <w:rPr>
          <w:rFonts w:ascii="Arial" w:eastAsia="Arial" w:hAnsi="Arial"/>
          <w:sz w:val="24"/>
          <w:szCs w:val="24"/>
        </w:rPr>
        <w:t xml:space="preserve">raft Financial Distress Service Continuity Plan using the Dispute Resolution Procedure. </w:t>
      </w:r>
    </w:p>
    <w:p w:rsidR="00172EA7" w:rsidRDefault="00BE62DE">
      <w:pPr>
        <w:keepNext/>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lastRenderedPageBreak/>
        <w:t>Following Approval of the Financial Distress Service Continuity Plan by the Relevant Authority, the Supplier shall:</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w:t>
      </w:r>
      <w:r>
        <w:rPr>
          <w:rFonts w:ascii="Arial" w:eastAsia="Arial" w:hAnsi="Arial"/>
          <w:sz w:val="24"/>
          <w:szCs w:val="24"/>
        </w:rPr>
        <w:t>ordance with each Call-Off Contract;</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t>where the Financial Distress Service Continuity Plan is not adequate or up to date in accordance with Paragraph 4.6.1, submit an updated Financial Distress Service Continuity Plan to CCS for its Approval, and the provis</w:t>
      </w:r>
      <w:r>
        <w:rPr>
          <w:rFonts w:ascii="Arial" w:eastAsia="Arial" w:hAnsi="Arial"/>
          <w:sz w:val="24"/>
          <w:szCs w:val="24"/>
        </w:rPr>
        <w:t xml:space="preserve">ions of Paragraphs 4.5 and 4.6 shall apply to the review and Approval process for the updated Financial Distress Service Continuity Plan; and </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t>comply with the Financial Distress Service Continuity Plan (including any updated Financial Distress Service Cont</w:t>
      </w:r>
      <w:r>
        <w:rPr>
          <w:rFonts w:ascii="Arial" w:eastAsia="Arial" w:hAnsi="Arial"/>
          <w:sz w:val="24"/>
          <w:szCs w:val="24"/>
        </w:rPr>
        <w:t>inuity Plan).</w:t>
      </w:r>
    </w:p>
    <w:p w:rsidR="00172EA7" w:rsidRDefault="00BE62DE">
      <w:pPr>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w:t>
      </w:r>
      <w:r>
        <w:rPr>
          <w:rFonts w:ascii="Arial" w:eastAsia="Arial" w:hAnsi="Arial"/>
          <w:sz w:val="24"/>
          <w:szCs w:val="24"/>
        </w:rPr>
        <w:t xml:space="preserve">the Supplier may be relieved of its obligations under Paragraph 4.6. </w:t>
      </w:r>
    </w:p>
    <w:p w:rsidR="00172EA7" w:rsidRDefault="00BE62DE">
      <w:pPr>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CCS shall be able to share any information it receives from the Buyer in accordance with this Paragraph with any Buyer who has entered into a Call-Off Contract with the Supplier.</w:t>
      </w:r>
    </w:p>
    <w:p w:rsidR="00172EA7" w:rsidRDefault="00BE62DE">
      <w:pPr>
        <w:keepNext/>
        <w:numPr>
          <w:ilvl w:val="0"/>
          <w:numId w:val="3"/>
        </w:numPr>
        <w:pBdr>
          <w:top w:val="nil"/>
          <w:left w:val="nil"/>
          <w:bottom w:val="nil"/>
          <w:right w:val="nil"/>
          <w:between w:val="nil"/>
        </w:pBdr>
        <w:tabs>
          <w:tab w:val="left" w:pos="142"/>
        </w:tabs>
        <w:spacing w:before="120"/>
        <w:ind w:left="708" w:hanging="708"/>
        <w:jc w:val="left"/>
        <w:rPr>
          <w:smallCaps/>
          <w:color w:val="000000"/>
        </w:rPr>
      </w:pPr>
      <w:r>
        <w:rPr>
          <w:rFonts w:ascii="Arial Bold" w:eastAsia="Arial Bold" w:hAnsi="Arial Bold" w:cs="Arial Bold"/>
          <w:sz w:val="24"/>
          <w:szCs w:val="24"/>
        </w:rPr>
        <w:t>When CC</w:t>
      </w:r>
      <w:r>
        <w:rPr>
          <w:rFonts w:ascii="Arial Bold" w:eastAsia="Arial Bold" w:hAnsi="Arial Bold" w:cs="Arial Bold"/>
          <w:sz w:val="24"/>
          <w:szCs w:val="24"/>
        </w:rPr>
        <w:t xml:space="preserve">S or the Buyer can terminate for financial distress </w:t>
      </w:r>
    </w:p>
    <w:p w:rsidR="00172EA7" w:rsidRDefault="00BE62DE">
      <w:pPr>
        <w:keepNext/>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 xml:space="preserve">CCS shall be entitled to terminate this Contract and Buyers shall be entitled to terminate their Call-Off Contracts for material Default if: </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t xml:space="preserve">the Supplier fails to notify the Relevant Authority of a Financial Distress Event in accordance with Paragraph 3.4; </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t>The Relevant Authority and the Supplier fail to agree a Financial Distress Service Continuity Plan (or any updated Financial Distress Servi</w:t>
      </w:r>
      <w:r>
        <w:rPr>
          <w:rFonts w:ascii="Arial" w:eastAsia="Arial" w:hAnsi="Arial"/>
          <w:sz w:val="24"/>
          <w:szCs w:val="24"/>
        </w:rPr>
        <w:t>ce Continuity Plan) in accordance with Paragraphs 4.3 to 4.5; and/or</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t>the Supplier fails to comply with the terms of the Financial Distress Service Continuity Plan (or any updated Financial Distress Service Continuity Plan) in accordance with Paragraph 4.6.</w:t>
      </w:r>
      <w:r>
        <w:rPr>
          <w:rFonts w:ascii="Arial" w:eastAsia="Arial" w:hAnsi="Arial"/>
          <w:sz w:val="24"/>
          <w:szCs w:val="24"/>
        </w:rPr>
        <w:t>3.</w:t>
      </w:r>
    </w:p>
    <w:p w:rsidR="00172EA7" w:rsidRDefault="00BE62DE">
      <w:pPr>
        <w:keepNext/>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If the Contract is terminated in accordance with Paragraph 5.1, Clauses 10.6.1 and 10.6.2 of the Core Terms shall apply as if the Contract had been terminated under Clause 10.4.1.</w:t>
      </w:r>
    </w:p>
    <w:p w:rsidR="00172EA7" w:rsidRDefault="00BE62DE">
      <w:pPr>
        <w:keepNext/>
        <w:numPr>
          <w:ilvl w:val="0"/>
          <w:numId w:val="3"/>
        </w:numPr>
        <w:pBdr>
          <w:top w:val="nil"/>
          <w:left w:val="nil"/>
          <w:bottom w:val="nil"/>
          <w:right w:val="nil"/>
          <w:between w:val="nil"/>
        </w:pBdr>
        <w:tabs>
          <w:tab w:val="left" w:pos="142"/>
        </w:tabs>
        <w:spacing w:before="120"/>
        <w:ind w:left="708" w:hanging="708"/>
        <w:jc w:val="left"/>
        <w:rPr>
          <w:smallCaps/>
          <w:color w:val="000000"/>
        </w:rPr>
      </w:pPr>
      <w:r>
        <w:rPr>
          <w:rFonts w:ascii="Arial Bold" w:eastAsia="Arial Bold" w:hAnsi="Arial Bold" w:cs="Arial Bold"/>
          <w:sz w:val="24"/>
          <w:szCs w:val="24"/>
        </w:rPr>
        <w:t>What happens If your credit rating is still good</w:t>
      </w:r>
    </w:p>
    <w:p w:rsidR="00172EA7" w:rsidRDefault="00BE62DE">
      <w:pPr>
        <w:numPr>
          <w:ilvl w:val="1"/>
          <w:numId w:val="3"/>
        </w:numPr>
        <w:pBdr>
          <w:top w:val="nil"/>
          <w:left w:val="nil"/>
          <w:bottom w:val="nil"/>
          <w:right w:val="nil"/>
          <w:between w:val="nil"/>
        </w:pBdr>
        <w:tabs>
          <w:tab w:val="left" w:pos="1134"/>
        </w:tabs>
        <w:spacing w:before="120" w:after="120"/>
        <w:ind w:left="0" w:firstLine="0"/>
        <w:jc w:val="left"/>
        <w:rPr>
          <w:color w:val="000000"/>
        </w:rPr>
      </w:pPr>
      <w:r>
        <w:rPr>
          <w:rFonts w:ascii="Arial" w:eastAsia="Arial" w:hAnsi="Arial"/>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sz w:val="24"/>
          <w:szCs w:val="24"/>
        </w:rPr>
        <w:t>op below the relevant Credit Rating Threshold, then:</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t>the Supplier shall be relieved automatically of its obligations under Paragraphs 4.3 to 4.6; and</w:t>
      </w:r>
    </w:p>
    <w:p w:rsidR="00172EA7" w:rsidRDefault="00BE62DE">
      <w:pPr>
        <w:numPr>
          <w:ilvl w:val="2"/>
          <w:numId w:val="3"/>
        </w:numPr>
        <w:pBdr>
          <w:top w:val="nil"/>
          <w:left w:val="nil"/>
          <w:bottom w:val="nil"/>
          <w:right w:val="nil"/>
          <w:between w:val="nil"/>
        </w:pBdr>
        <w:tabs>
          <w:tab w:val="left" w:pos="1985"/>
        </w:tabs>
        <w:spacing w:before="120" w:after="120"/>
        <w:ind w:left="708" w:firstLine="0"/>
        <w:jc w:val="left"/>
        <w:rPr>
          <w:color w:val="000000"/>
        </w:rPr>
      </w:pPr>
      <w:r>
        <w:rPr>
          <w:rFonts w:ascii="Arial" w:eastAsia="Arial" w:hAnsi="Arial"/>
          <w:sz w:val="24"/>
          <w:szCs w:val="24"/>
        </w:rPr>
        <w:lastRenderedPageBreak/>
        <w:t>The Relevant Authority shall not be entitled to require the Supplier to provide financial information in a</w:t>
      </w:r>
      <w:r>
        <w:rPr>
          <w:rFonts w:ascii="Arial" w:eastAsia="Arial" w:hAnsi="Arial"/>
          <w:sz w:val="24"/>
          <w:szCs w:val="24"/>
        </w:rPr>
        <w:t xml:space="preserve">ccordance with Paragraph 4.3.2(b). </w:t>
      </w:r>
    </w:p>
    <w:p w:rsidR="00172EA7" w:rsidRDefault="00172EA7">
      <w:pPr>
        <w:pBdr>
          <w:top w:val="nil"/>
          <w:left w:val="nil"/>
          <w:bottom w:val="nil"/>
          <w:right w:val="nil"/>
          <w:between w:val="nil"/>
        </w:pBdr>
      </w:pPr>
    </w:p>
    <w:p w:rsidR="00172EA7" w:rsidRDefault="00172EA7">
      <w:pPr>
        <w:pBdr>
          <w:top w:val="nil"/>
          <w:left w:val="nil"/>
          <w:bottom w:val="nil"/>
          <w:right w:val="nil"/>
          <w:between w:val="nil"/>
        </w:pBdr>
        <w:spacing w:after="0"/>
        <w:jc w:val="left"/>
        <w:rPr>
          <w:rFonts w:ascii="Arial" w:eastAsia="Arial" w:hAnsi="Arial"/>
          <w:color w:val="FFFFFF"/>
          <w:sz w:val="24"/>
          <w:szCs w:val="24"/>
        </w:rPr>
      </w:pPr>
    </w:p>
    <w:p w:rsidR="00172EA7" w:rsidRDefault="00BE62DE">
      <w:pPr>
        <w:keepNext/>
        <w:pBdr>
          <w:top w:val="nil"/>
          <w:left w:val="nil"/>
          <w:bottom w:val="nil"/>
          <w:right w:val="nil"/>
          <w:between w:val="nil"/>
        </w:pBdr>
        <w:ind w:firstLine="426"/>
        <w:jc w:val="left"/>
        <w:rPr>
          <w:rFonts w:ascii="Arial" w:eastAsia="Arial" w:hAnsi="Arial"/>
          <w:b/>
          <w:smallCaps/>
          <w:color w:val="000000"/>
          <w:sz w:val="24"/>
          <w:szCs w:val="24"/>
        </w:rPr>
      </w:pPr>
      <w:bookmarkStart w:id="26" w:name="_heading=h.111kx3o" w:colFirst="0" w:colLast="0"/>
      <w:bookmarkEnd w:id="26"/>
      <w:r>
        <w:br w:type="page"/>
      </w:r>
    </w:p>
    <w:p w:rsidR="00172EA7" w:rsidRDefault="00BE62DE">
      <w:pPr>
        <w:pStyle w:val="Heading2"/>
        <w:ind w:firstLine="426"/>
        <w:jc w:val="left"/>
      </w:pPr>
      <w:bookmarkStart w:id="27" w:name="_heading=h.7wm2nujp20e" w:colFirst="0" w:colLast="0"/>
      <w:bookmarkEnd w:id="27"/>
      <w:r>
        <w:lastRenderedPageBreak/>
        <w:t>Appendix 1: RATING AGENCIES</w:t>
      </w:r>
    </w:p>
    <w:p w:rsidR="00172EA7" w:rsidRDefault="00BE62DE">
      <w:pPr>
        <w:keepNext/>
        <w:spacing w:before="240" w:after="120"/>
        <w:ind w:left="142"/>
        <w:jc w:val="left"/>
        <w:rPr>
          <w:rFonts w:ascii="Arial" w:eastAsia="Arial" w:hAnsi="Arial"/>
          <w:sz w:val="24"/>
          <w:szCs w:val="24"/>
        </w:rPr>
      </w:pPr>
      <w:hyperlink r:id="rId12">
        <w:r>
          <w:rPr>
            <w:rFonts w:ascii="Arial" w:eastAsia="Arial" w:hAnsi="Arial"/>
            <w:sz w:val="24"/>
            <w:szCs w:val="24"/>
            <w:highlight w:val="white"/>
          </w:rPr>
          <w:t>Dun &amp; Bradstreet</w:t>
        </w:r>
      </w:hyperlink>
    </w:p>
    <w:p w:rsidR="00172EA7" w:rsidRDefault="00BE62DE">
      <w:pPr>
        <w:pStyle w:val="Heading2"/>
        <w:jc w:val="left"/>
        <w:rPr>
          <w:sz w:val="24"/>
          <w:szCs w:val="24"/>
        </w:rPr>
      </w:pPr>
      <w:bookmarkStart w:id="28" w:name="_heading=h.fxf0kni14oh6" w:colFirst="0" w:colLast="0"/>
      <w:bookmarkEnd w:id="28"/>
      <w:r>
        <w:br w:type="page"/>
      </w:r>
      <w:r>
        <w:lastRenderedPageBreak/>
        <w:t>Appendix 2: CREDIT RATINGS &amp; CREDIT RATING THRESHOLDS</w:t>
      </w:r>
    </w:p>
    <w:p w:rsidR="00172EA7" w:rsidRDefault="00BE62DE">
      <w:pPr>
        <w:keepNext/>
        <w:pBdr>
          <w:top w:val="nil"/>
          <w:left w:val="nil"/>
          <w:bottom w:val="nil"/>
          <w:right w:val="nil"/>
          <w:between w:val="nil"/>
        </w:pBdr>
        <w:ind w:firstLine="426"/>
        <w:jc w:val="left"/>
        <w:rPr>
          <w:rFonts w:ascii="Arial" w:eastAsia="Arial" w:hAnsi="Arial"/>
          <w:sz w:val="24"/>
          <w:szCs w:val="24"/>
        </w:rPr>
      </w:pPr>
      <w:r>
        <w:rPr>
          <w:rFonts w:ascii="Arial" w:eastAsia="Arial" w:hAnsi="Arial"/>
          <w:sz w:val="24"/>
          <w:szCs w:val="24"/>
        </w:rPr>
        <w:t>Part 1: Current Rating</w:t>
      </w:r>
    </w:p>
    <w:p w:rsidR="00172EA7" w:rsidRDefault="00172EA7">
      <w:pPr>
        <w:spacing w:after="200" w:line="276" w:lineRule="auto"/>
        <w:jc w:val="left"/>
        <w:rPr>
          <w:rFonts w:ascii="Arial" w:eastAsia="Arial" w:hAnsi="Arial"/>
          <w:sz w:val="24"/>
          <w:szCs w:val="24"/>
        </w:rPr>
      </w:pPr>
    </w:p>
    <w:tbl>
      <w:tblPr>
        <w:tblStyle w:val="ae"/>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172EA7">
        <w:tc>
          <w:tcPr>
            <w:tcW w:w="4513" w:type="dxa"/>
            <w:tcBorders>
              <w:top w:val="single" w:sz="4" w:space="0" w:color="000000"/>
            </w:tcBorders>
            <w:shd w:val="clear" w:color="auto" w:fill="FFFFFF"/>
          </w:tcPr>
          <w:p w:rsidR="00172EA7" w:rsidRDefault="00BE62DE">
            <w:pPr>
              <w:keepNext/>
              <w:spacing w:before="240" w:after="120"/>
              <w:ind w:left="142"/>
              <w:jc w:val="left"/>
              <w:rPr>
                <w:rFonts w:ascii="Arial" w:eastAsia="Arial" w:hAnsi="Arial"/>
                <w:b/>
                <w:sz w:val="24"/>
                <w:szCs w:val="24"/>
              </w:rPr>
            </w:pPr>
            <w:r>
              <w:rPr>
                <w:rFonts w:ascii="Arial" w:eastAsia="Arial" w:hAnsi="Arial"/>
                <w:b/>
                <w:sz w:val="24"/>
                <w:szCs w:val="24"/>
              </w:rPr>
              <w:t>Entity</w:t>
            </w:r>
          </w:p>
        </w:tc>
        <w:tc>
          <w:tcPr>
            <w:tcW w:w="4513" w:type="dxa"/>
            <w:tcBorders>
              <w:top w:val="single" w:sz="4" w:space="0" w:color="000000"/>
            </w:tcBorders>
            <w:shd w:val="clear" w:color="auto" w:fill="FFFFFF"/>
          </w:tcPr>
          <w:p w:rsidR="00172EA7" w:rsidRDefault="00BE62DE">
            <w:pPr>
              <w:keepNext/>
              <w:spacing w:before="240" w:after="120"/>
              <w:ind w:left="142" w:right="-586"/>
              <w:jc w:val="left"/>
              <w:rPr>
                <w:rFonts w:ascii="Arial" w:eastAsia="Arial" w:hAnsi="Arial"/>
                <w:b/>
                <w:sz w:val="24"/>
                <w:szCs w:val="24"/>
              </w:rPr>
            </w:pPr>
            <w:r>
              <w:rPr>
                <w:rFonts w:ascii="Arial" w:eastAsia="Arial" w:hAnsi="Arial"/>
                <w:b/>
                <w:sz w:val="24"/>
                <w:szCs w:val="24"/>
              </w:rPr>
              <w:t>Credit rating (long term)</w:t>
            </w:r>
          </w:p>
        </w:tc>
      </w:tr>
      <w:tr w:rsidR="00172EA7">
        <w:tc>
          <w:tcPr>
            <w:tcW w:w="4513" w:type="dxa"/>
            <w:shd w:val="clear" w:color="auto" w:fill="FFFFFF"/>
          </w:tcPr>
          <w:p w:rsidR="00172EA7" w:rsidRDefault="00BE62DE">
            <w:pPr>
              <w:keepNext/>
              <w:spacing w:before="240" w:after="120"/>
              <w:ind w:left="142"/>
              <w:jc w:val="left"/>
              <w:rPr>
                <w:rFonts w:ascii="Arial" w:eastAsia="Arial" w:hAnsi="Arial"/>
                <w:sz w:val="24"/>
                <w:szCs w:val="24"/>
              </w:rPr>
            </w:pPr>
            <w:r>
              <w:rPr>
                <w:rFonts w:ascii="Arial" w:eastAsia="Arial" w:hAnsi="Arial"/>
                <w:sz w:val="24"/>
                <w:szCs w:val="24"/>
              </w:rPr>
              <w:t>Supplier</w:t>
            </w:r>
          </w:p>
        </w:tc>
        <w:tc>
          <w:tcPr>
            <w:tcW w:w="4513" w:type="dxa"/>
            <w:shd w:val="clear" w:color="auto" w:fill="FFFFFF"/>
          </w:tcPr>
          <w:p w:rsidR="00172EA7" w:rsidRDefault="00BE62DE">
            <w:pPr>
              <w:keepNext/>
              <w:spacing w:before="240" w:after="120"/>
              <w:ind w:left="142" w:right="-586"/>
              <w:jc w:val="left"/>
              <w:rPr>
                <w:rFonts w:ascii="Arial" w:eastAsia="Arial" w:hAnsi="Arial"/>
                <w:sz w:val="24"/>
                <w:szCs w:val="24"/>
              </w:rPr>
            </w:pPr>
            <w:r>
              <w:rPr>
                <w:rFonts w:ascii="Arial" w:eastAsia="Arial" w:hAnsi="Arial"/>
                <w:sz w:val="24"/>
                <w:szCs w:val="24"/>
              </w:rPr>
              <w:t>45</w:t>
            </w:r>
          </w:p>
        </w:tc>
      </w:tr>
      <w:tr w:rsidR="00172EA7">
        <w:tc>
          <w:tcPr>
            <w:tcW w:w="4513" w:type="dxa"/>
            <w:shd w:val="clear" w:color="auto" w:fill="FFFFFF"/>
          </w:tcPr>
          <w:p w:rsidR="00172EA7" w:rsidRDefault="00BE62DE">
            <w:pPr>
              <w:keepNext/>
              <w:spacing w:before="240" w:after="120"/>
              <w:ind w:left="142"/>
              <w:jc w:val="left"/>
              <w:rPr>
                <w:rFonts w:ascii="Arial" w:eastAsia="Arial" w:hAnsi="Arial"/>
                <w:sz w:val="24"/>
                <w:szCs w:val="24"/>
              </w:rPr>
            </w:pPr>
            <w:r>
              <w:rPr>
                <w:rFonts w:ascii="Arial" w:eastAsia="Arial" w:hAnsi="Arial"/>
                <w:sz w:val="24"/>
                <w:szCs w:val="24"/>
              </w:rPr>
              <w:t>[Guarantor]</w:t>
            </w:r>
          </w:p>
        </w:tc>
        <w:tc>
          <w:tcPr>
            <w:tcW w:w="4513" w:type="dxa"/>
            <w:shd w:val="clear" w:color="auto" w:fill="FFFFFF"/>
          </w:tcPr>
          <w:p w:rsidR="00172EA7" w:rsidRDefault="00BE62DE">
            <w:pPr>
              <w:keepNext/>
              <w:spacing w:before="240" w:after="120"/>
              <w:ind w:left="142" w:right="-586"/>
              <w:jc w:val="left"/>
              <w:rPr>
                <w:rFonts w:ascii="Arial" w:eastAsia="Arial" w:hAnsi="Arial"/>
                <w:sz w:val="24"/>
                <w:szCs w:val="24"/>
              </w:rPr>
            </w:pPr>
            <w:r>
              <w:rPr>
                <w:rFonts w:ascii="Arial" w:eastAsia="Arial" w:hAnsi="Arial"/>
                <w:sz w:val="24"/>
                <w:szCs w:val="24"/>
              </w:rPr>
              <w:t>45</w:t>
            </w:r>
          </w:p>
        </w:tc>
      </w:tr>
      <w:tr w:rsidR="00172EA7">
        <w:tc>
          <w:tcPr>
            <w:tcW w:w="4513" w:type="dxa"/>
            <w:tcBorders>
              <w:bottom w:val="single" w:sz="4" w:space="0" w:color="000000"/>
            </w:tcBorders>
            <w:shd w:val="clear" w:color="auto" w:fill="FFFFFF"/>
          </w:tcPr>
          <w:p w:rsidR="00172EA7" w:rsidRDefault="00BE62DE">
            <w:pPr>
              <w:keepNext/>
              <w:spacing w:before="240" w:after="120"/>
              <w:ind w:left="142"/>
              <w:jc w:val="left"/>
              <w:rPr>
                <w:rFonts w:ascii="Arial" w:eastAsia="Arial" w:hAnsi="Arial"/>
                <w:sz w:val="24"/>
                <w:szCs w:val="24"/>
              </w:rPr>
            </w:pPr>
            <w:r>
              <w:rPr>
                <w:rFonts w:ascii="Arial" w:eastAsia="Arial" w:hAnsi="Arial"/>
                <w:sz w:val="24"/>
                <w:szCs w:val="24"/>
              </w:rPr>
              <w:t>[Key Subcontractor]</w:t>
            </w:r>
          </w:p>
        </w:tc>
        <w:tc>
          <w:tcPr>
            <w:tcW w:w="4513" w:type="dxa"/>
            <w:shd w:val="clear" w:color="auto" w:fill="auto"/>
            <w:tcMar>
              <w:top w:w="100" w:type="dxa"/>
              <w:left w:w="100" w:type="dxa"/>
              <w:bottom w:w="100" w:type="dxa"/>
              <w:right w:w="100" w:type="dxa"/>
            </w:tcMar>
          </w:tcPr>
          <w:p w:rsidR="00172EA7" w:rsidRDefault="00BE62DE">
            <w:pPr>
              <w:widowControl w:val="0"/>
              <w:pBdr>
                <w:top w:val="nil"/>
                <w:left w:val="nil"/>
                <w:bottom w:val="nil"/>
                <w:right w:val="nil"/>
                <w:between w:val="nil"/>
              </w:pBdr>
              <w:spacing w:after="0"/>
              <w:ind w:left="141"/>
              <w:jc w:val="left"/>
              <w:rPr>
                <w:rFonts w:ascii="Arial" w:eastAsia="Arial" w:hAnsi="Arial"/>
                <w:sz w:val="24"/>
                <w:szCs w:val="24"/>
              </w:rPr>
            </w:pPr>
            <w:r>
              <w:rPr>
                <w:rFonts w:ascii="Arial" w:eastAsia="Arial" w:hAnsi="Arial"/>
                <w:sz w:val="24"/>
                <w:szCs w:val="24"/>
              </w:rPr>
              <w:t>45</w:t>
            </w:r>
          </w:p>
        </w:tc>
      </w:tr>
    </w:tbl>
    <w:p w:rsidR="00172EA7" w:rsidRDefault="00172EA7">
      <w:pPr>
        <w:spacing w:after="200" w:line="276" w:lineRule="auto"/>
        <w:jc w:val="left"/>
        <w:rPr>
          <w:rFonts w:ascii="Arial" w:eastAsia="Arial" w:hAnsi="Arial"/>
          <w:sz w:val="24"/>
          <w:szCs w:val="24"/>
        </w:rPr>
      </w:pPr>
    </w:p>
    <w:sectPr w:rsidR="00172EA7">
      <w:headerReference w:type="default" r:id="rId13"/>
      <w:footerReference w:type="defaul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62DE" w:rsidRDefault="00BE62DE">
      <w:pPr>
        <w:spacing w:after="0"/>
      </w:pPr>
      <w:r>
        <w:separator/>
      </w:r>
    </w:p>
  </w:endnote>
  <w:endnote w:type="continuationSeparator" w:id="0">
    <w:p w:rsidR="00BE62DE" w:rsidRDefault="00BE62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EA7" w:rsidRDefault="00BE62DE">
    <w:pPr>
      <w:tabs>
        <w:tab w:val="center" w:pos="4513"/>
        <w:tab w:val="right" w:pos="9026"/>
      </w:tabs>
      <w:spacing w:after="0"/>
      <w:rPr>
        <w:rFonts w:ascii="Arial" w:eastAsia="Arial" w:hAnsi="Arial"/>
        <w:sz w:val="20"/>
        <w:szCs w:val="20"/>
      </w:rPr>
    </w:pPr>
    <w:r>
      <w:rPr>
        <w:rFonts w:ascii="Arial" w:eastAsia="Arial" w:hAnsi="Arial"/>
        <w:sz w:val="20"/>
        <w:szCs w:val="20"/>
      </w:rPr>
      <w:t>Framework Ref: RM6336</w:t>
    </w:r>
    <w:r>
      <w:rPr>
        <w:rFonts w:ascii="Arial" w:eastAsia="Arial" w:hAnsi="Arial"/>
        <w:sz w:val="20"/>
        <w:szCs w:val="20"/>
      </w:rPr>
      <w:tab/>
      <w:t xml:space="preserve">                                           </w:t>
    </w:r>
  </w:p>
  <w:p w:rsidR="00172EA7" w:rsidRDefault="00BE62DE">
    <w:pPr>
      <w:pBdr>
        <w:top w:val="nil"/>
        <w:left w:val="nil"/>
        <w:bottom w:val="nil"/>
        <w:right w:val="nil"/>
        <w:between w:val="nil"/>
      </w:pBdr>
      <w:tabs>
        <w:tab w:val="center" w:pos="4513"/>
        <w:tab w:val="right" w:pos="9026"/>
      </w:tabs>
      <w:spacing w:after="0"/>
      <w:rPr>
        <w:rFonts w:ascii="Arial" w:eastAsia="Arial" w:hAnsi="Arial"/>
        <w:sz w:val="20"/>
        <w:szCs w:val="20"/>
      </w:rPr>
    </w:pPr>
    <w:r>
      <w:rPr>
        <w:rFonts w:ascii="Arial" w:eastAsia="Arial" w:hAnsi="Arial"/>
        <w:sz w:val="20"/>
        <w:szCs w:val="20"/>
      </w:rPr>
      <w:t>Project Version: v1.0</w:t>
    </w:r>
    <w:r>
      <w:rPr>
        <w:rFonts w:ascii="Arial" w:eastAsia="Arial" w:hAnsi="Arial"/>
        <w:sz w:val="20"/>
        <w:szCs w:val="20"/>
      </w:rPr>
      <w:tab/>
    </w:r>
    <w:r>
      <w:rPr>
        <w:rFonts w:ascii="Arial" w:eastAsia="Arial" w:hAnsi="Arial"/>
        <w:sz w:val="20"/>
        <w:szCs w:val="20"/>
      </w:rPr>
      <w:tab/>
      <w:t xml:space="preserve"> </w:t>
    </w:r>
    <w:r>
      <w:rPr>
        <w:rFonts w:ascii="Arial" w:eastAsia="Arial" w:hAnsi="Arial"/>
        <w:sz w:val="20"/>
        <w:szCs w:val="20"/>
      </w:rPr>
      <w:fldChar w:fldCharType="begin"/>
    </w:r>
    <w:r>
      <w:rPr>
        <w:rFonts w:ascii="Arial" w:eastAsia="Arial" w:hAnsi="Arial"/>
        <w:sz w:val="20"/>
        <w:szCs w:val="20"/>
      </w:rPr>
      <w:instrText>PAGE</w:instrText>
    </w:r>
    <w:r w:rsidR="00F56C69">
      <w:rPr>
        <w:rFonts w:ascii="Arial" w:eastAsia="Arial" w:hAnsi="Arial"/>
        <w:sz w:val="20"/>
        <w:szCs w:val="20"/>
      </w:rPr>
      <w:fldChar w:fldCharType="separate"/>
    </w:r>
    <w:r w:rsidR="00F56C69">
      <w:rPr>
        <w:rFonts w:ascii="Arial" w:eastAsia="Arial" w:hAnsi="Arial"/>
        <w:noProof/>
        <w:sz w:val="20"/>
        <w:szCs w:val="20"/>
      </w:rPr>
      <w:t>1</w:t>
    </w:r>
    <w:r>
      <w:rPr>
        <w:rFonts w:ascii="Arial" w:eastAsia="Arial" w:hAnsi="Arial"/>
        <w:sz w:val="20"/>
        <w:szCs w:val="20"/>
      </w:rPr>
      <w:fldChar w:fldCharType="end"/>
    </w:r>
  </w:p>
  <w:p w:rsidR="00172EA7" w:rsidRDefault="00BE62DE">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EA7" w:rsidRDefault="00BE62DE">
    <w:pPr>
      <w:tabs>
        <w:tab w:val="center" w:pos="4513"/>
        <w:tab w:val="right" w:pos="9026"/>
      </w:tabs>
      <w:spacing w:after="0"/>
      <w:rPr>
        <w:color w:val="BFBFBF"/>
      </w:rPr>
    </w:pPr>
    <w:r>
      <w:rPr>
        <w:color w:val="BFBFBF"/>
      </w:rPr>
      <w:t>Framework Ref: RM</w:t>
    </w:r>
    <w:r>
      <w:rPr>
        <w:color w:val="BFBFBF"/>
      </w:rPr>
      <w:tab/>
      <w:t xml:space="preserve">                                           </w:t>
    </w:r>
  </w:p>
  <w:p w:rsidR="00172EA7" w:rsidRDefault="00BE62DE">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172EA7" w:rsidRDefault="00BE62DE">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62DE" w:rsidRDefault="00BE62DE">
      <w:pPr>
        <w:spacing w:after="0"/>
      </w:pPr>
      <w:r>
        <w:separator/>
      </w:r>
    </w:p>
  </w:footnote>
  <w:footnote w:type="continuationSeparator" w:id="0">
    <w:p w:rsidR="00BE62DE" w:rsidRDefault="00BE62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EA7" w:rsidRDefault="00BE62DE">
    <w:pPr>
      <w:pBdr>
        <w:top w:val="nil"/>
        <w:left w:val="nil"/>
        <w:bottom w:val="nil"/>
        <w:right w:val="nil"/>
        <w:between w:val="nil"/>
      </w:pBdr>
      <w:tabs>
        <w:tab w:val="center" w:pos="4513"/>
        <w:tab w:val="right" w:pos="9026"/>
      </w:tabs>
      <w:spacing w:after="0"/>
      <w:rPr>
        <w:rFonts w:ascii="Arial" w:eastAsia="Arial" w:hAnsi="Arial"/>
        <w:sz w:val="20"/>
        <w:szCs w:val="20"/>
      </w:rPr>
    </w:pPr>
    <w:r>
      <w:rPr>
        <w:rFonts w:ascii="Arial" w:eastAsia="Arial" w:hAnsi="Arial"/>
        <w:b/>
        <w:sz w:val="20"/>
        <w:szCs w:val="20"/>
      </w:rPr>
      <w:t>Joint Schedule 7 (Financial Difficulties)</w:t>
    </w:r>
  </w:p>
  <w:p w:rsidR="00172EA7" w:rsidRDefault="00BE62DE">
    <w:pPr>
      <w:pBdr>
        <w:top w:val="nil"/>
        <w:left w:val="nil"/>
        <w:bottom w:val="nil"/>
        <w:right w:val="nil"/>
        <w:between w:val="nil"/>
      </w:pBdr>
      <w:tabs>
        <w:tab w:val="center" w:pos="4513"/>
        <w:tab w:val="right" w:pos="9026"/>
      </w:tabs>
      <w:spacing w:after="0"/>
      <w:rPr>
        <w:rFonts w:ascii="Arial" w:eastAsia="Arial" w:hAnsi="Arial"/>
        <w:sz w:val="20"/>
        <w:szCs w:val="20"/>
      </w:rPr>
    </w:pPr>
    <w:r>
      <w:rPr>
        <w:rFonts w:ascii="Arial" w:eastAsia="Arial" w:hAnsi="Arial"/>
        <w:sz w:val="20"/>
        <w:szCs w:val="20"/>
      </w:rPr>
      <w:t>Crown Copyright</w:t>
    </w:r>
    <w:r>
      <w:rPr>
        <w:rFonts w:ascii="Arial" w:eastAsia="Arial" w:hAnsi="Arial"/>
        <w:sz w:val="14"/>
        <w:szCs w:val="14"/>
      </w:rPr>
      <w:t xml:space="preserve"> </w:t>
    </w:r>
    <w:r>
      <w:rPr>
        <w:rFonts w:ascii="Arial" w:eastAsia="Arial" w:hAnsi="Arial"/>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C5628"/>
    <w:multiLevelType w:val="multilevel"/>
    <w:tmpl w:val="0AAA913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1417" w:firstLine="0"/>
      </w:pPr>
      <w:rPr>
        <w:rFonts w:ascii="Arial" w:eastAsia="Arial" w:hAnsi="Arial" w:cs="Arial"/>
        <w:b w:val="0"/>
        <w:i w:val="0"/>
        <w:smallCaps w:val="0"/>
        <w:strike w:val="0"/>
        <w:color w:val="000000"/>
        <w:sz w:val="26"/>
        <w:szCs w:val="26"/>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6B30C8C"/>
    <w:multiLevelType w:val="multilevel"/>
    <w:tmpl w:val="F4702A42"/>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8886BFC"/>
    <w:multiLevelType w:val="multilevel"/>
    <w:tmpl w:val="D88889BE"/>
    <w:lvl w:ilvl="0">
      <w:start w:val="1"/>
      <w:numFmt w:val="decimal"/>
      <w:pStyle w:val="AnnexHeading"/>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57DBD"/>
    <w:multiLevelType w:val="multilevel"/>
    <w:tmpl w:val="19900AD0"/>
    <w:lvl w:ilvl="0">
      <w:start w:val="1"/>
      <w:numFmt w:val="decimal"/>
      <w:pStyle w:val="GPSL1CLAUSEHEADING"/>
      <w:lvlText w:val="%1"/>
      <w:lvlJc w:val="left"/>
      <w:pPr>
        <w:ind w:left="720" w:hanging="720"/>
      </w:pPr>
    </w:lvl>
    <w:lvl w:ilvl="1">
      <w:start w:val="1"/>
      <w:numFmt w:val="decimal"/>
      <w:pStyle w:val="GPSL2NumberedBoldHeading"/>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57AD43CF"/>
    <w:multiLevelType w:val="multilevel"/>
    <w:tmpl w:val="56F66E6A"/>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0"/>
  </w:num>
  <w:num w:numId="4">
    <w:abstractNumId w:val="2"/>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EA7"/>
    <w:rsid w:val="00172EA7"/>
    <w:rsid w:val="00BE62DE"/>
    <w:rsid w:val="00F56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85D0CD-A8A7-4F48-8DE3-2331ACEC9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E12774"/>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E12774"/>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rsid w:val="00E12774"/>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E12774"/>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E12774"/>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E1277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12774"/>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E12774"/>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E12774"/>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E12774"/>
    <w:pPr>
      <w:numPr>
        <w:ilvl w:val="3"/>
      </w:numPr>
      <w:tabs>
        <w:tab w:val="clear" w:pos="1985"/>
      </w:tabs>
    </w:pPr>
  </w:style>
  <w:style w:type="character" w:customStyle="1" w:styleId="GPSL4numberedclauseChar">
    <w:name w:val="GPS L4 numbered clause Char"/>
    <w:link w:val="GPSL4numberedclause"/>
    <w:locked/>
    <w:rPr>
      <w:rFonts w:eastAsia="Times New Roman"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E12774"/>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Definition">
    <w:name w:val="GPs Definition"/>
    <w:basedOn w:val="Normal"/>
    <w:qFormat/>
    <w:rsid w:val="00E12774"/>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E12774"/>
    <w:pPr>
      <w:tabs>
        <w:tab w:val="clear" w:pos="1134"/>
      </w:tabs>
      <w:ind w:hanging="360"/>
    </w:pPr>
    <w:rPr>
      <w:b w:val="0"/>
    </w:rPr>
  </w:style>
  <w:style w:type="character" w:customStyle="1" w:styleId="GPSL2NumberedChar">
    <w:name w:val="GPS L2 Numbered Char"/>
    <w:link w:val="GPSL2Numbered"/>
    <w:locked/>
    <w:rPr>
      <w:rFonts w:eastAsia="Times New Roman"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eastAsia="Times New Roman"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7"/>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7"/>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7"/>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7"/>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uiPriority w:val="9"/>
    <w:rsid w:val="00A96D9C"/>
    <w:rPr>
      <w:rFonts w:eastAsia="Times New Roman" w:cs="Arial"/>
      <w:b/>
      <w:sz w:val="48"/>
      <w:szCs w:val="48"/>
    </w:rPr>
  </w:style>
  <w:style w:type="character" w:customStyle="1" w:styleId="Heading2Char">
    <w:name w:val="Heading 2 Char"/>
    <w:basedOn w:val="DefaultParagraphFont"/>
    <w:link w:val="Heading2"/>
    <w:uiPriority w:val="9"/>
    <w:rsid w:val="00A96D9C"/>
    <w:rPr>
      <w:rFonts w:eastAsia="Times New Roman" w:cs="Arial"/>
      <w:b/>
      <w:sz w:val="36"/>
      <w:szCs w:val="36"/>
    </w:rPr>
  </w:style>
  <w:style w:type="character" w:customStyle="1" w:styleId="Heading3Char">
    <w:name w:val="Heading 3 Char"/>
    <w:basedOn w:val="DefaultParagraphFont"/>
    <w:link w:val="Heading3"/>
    <w:uiPriority w:val="9"/>
    <w:rsid w:val="00A96D9C"/>
    <w:rPr>
      <w:rFonts w:eastAsia="Times New Roman" w:cs="Arial"/>
      <w:b/>
      <w:sz w:val="28"/>
      <w:szCs w:val="28"/>
    </w:rPr>
  </w:style>
  <w:style w:type="character" w:customStyle="1" w:styleId="Heading4Char">
    <w:name w:val="Heading 4 Char"/>
    <w:basedOn w:val="DefaultParagraphFont"/>
    <w:link w:val="Heading4"/>
    <w:uiPriority w:val="9"/>
    <w:semiHidden/>
    <w:rsid w:val="00A96D9C"/>
    <w:rPr>
      <w:rFonts w:eastAsia="Times New Roman" w:cs="Arial"/>
      <w:b/>
      <w:sz w:val="24"/>
      <w:szCs w:val="24"/>
    </w:rPr>
  </w:style>
  <w:style w:type="character" w:customStyle="1" w:styleId="Heading5Char">
    <w:name w:val="Heading 5 Char"/>
    <w:basedOn w:val="DefaultParagraphFont"/>
    <w:link w:val="Heading5"/>
    <w:uiPriority w:val="9"/>
    <w:semiHidden/>
    <w:rsid w:val="00A96D9C"/>
    <w:rPr>
      <w:rFonts w:eastAsia="Times New Roman" w:cs="Arial"/>
      <w:b/>
    </w:rPr>
  </w:style>
  <w:style w:type="character" w:customStyle="1" w:styleId="Heading6Char">
    <w:name w:val="Heading 6 Char"/>
    <w:basedOn w:val="DefaultParagraphFont"/>
    <w:link w:val="Heading6"/>
    <w:uiPriority w:val="9"/>
    <w:semiHidden/>
    <w:rsid w:val="00A96D9C"/>
    <w:rPr>
      <w:rFonts w:eastAsia="Times New Roman" w:cs="Arial"/>
      <w:b/>
      <w:sz w:val="20"/>
      <w:szCs w:val="20"/>
    </w:rPr>
  </w:style>
  <w:style w:type="character" w:customStyle="1" w:styleId="TitleChar">
    <w:name w:val="Title Char"/>
    <w:basedOn w:val="DefaultParagraphFont"/>
    <w:link w:val="Title"/>
    <w:uiPriority w:val="10"/>
    <w:rsid w:val="00A96D9C"/>
    <w:rPr>
      <w:rFonts w:eastAsia="Times New Roman" w:cs="Arial"/>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pPr>
      <w:spacing w:after="0"/>
    </w:pPr>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nb.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dnb.co.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8jcSd06IlChhHRUIMXaJkj9QIg==">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6350</Words>
  <Characters>36196</Characters>
  <Application>Microsoft Office Word</Application>
  <DocSecurity>0</DocSecurity>
  <Lines>301</Lines>
  <Paragraphs>84</Paragraphs>
  <ScaleCrop>false</ScaleCrop>
  <Company/>
  <LinksUpToDate>false</LinksUpToDate>
  <CharactersWithSpaces>42462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 Rowan</cp:lastModifiedBy>
  <cp:revision>2</cp:revision>
  <dcterms:created xsi:type="dcterms:W3CDTF">2022-11-08T14:18:00Z</dcterms:created>
  <dcterms:modified xsi:type="dcterms:W3CDTF">2023-03-23T12:14:00Z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